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
      </w:pPr>
      <w:r>
        <w:rPr>
          <w:b/>
          <w:bCs/>
          <w:color w:val="A9610A"/>
          <w:spacing w:val="40"/>
          <w:sz w:val="16"/>
          <w:szCs w:val="16"/>
        </w:rPr>
        <w:t xml:space="preserve">ADOPTION MECHANICS · FOR COUNSEL AND FINANCE</w:t>
      </w:r>
    </w:p>
    <w:p>
      <w:pPr>
        <w:spacing w:after="60" w:before="0"/>
      </w:pPr>
      <w:r>
        <w:rPr>
          <w:b/>
          <w:bCs/>
          <w:color w:val="1F3A5F"/>
          <w:sz w:val="36"/>
          <w:szCs w:val="36"/>
        </w:rPr>
        <w:t xml:space="preserve">Review funding, assessor conduct, and release</w:t>
      </w:r>
    </w:p>
    <w:p>
      <w:pPr>
        <w:pBdr>
          <w:bottom w:val="single" w:color="1F3A5F" w:sz="8" w:space="8"/>
        </w:pBdr>
        <w:spacing w:after="200"/>
      </w:pPr>
      <w:r>
        <w:rPr>
          <w:color w:val="4A5568"/>
          <w:sz w:val="22"/>
          <w:szCs w:val="22"/>
        </w:rPr>
        <w:t xml:space="preserve">The three operating provisions that sit behind MC-6 · model language and commentary</w:t>
      </w:r>
    </w:p>
    <w:p>
      <w:pPr>
        <w:pStyle w:val="Lead"/>
      </w:pPr>
      <w:r>
        <w:t xml:space="preserve">MC-6 sets the obligation. These three provisions make it work: who pays for the review, what the reviewer may and may not do, and how the security is ever released.</w:t>
      </w:r>
    </w:p>
    <w:p>
      <w:pPr>
        <w:pStyle w:val="Heading1"/>
      </w:pPr>
      <w:r>
        <w:t xml:space="preserve">Part 1 — The review account</w:t>
      </w:r>
    </w:p>
    <w:p>
      <w:r>
        <w:t xml:space="preserve">The mechanism that makes the determination independent is that the applicant funds it and the jurisdiction directs it. Most counties already operate exactly this arrangement for third-party plan, traffic and environmental review; the language below is written to sit inside that existing practice rather than beside it.</w:t>
      </w:r>
    </w:p>
    <w:p>
      <w:pPr>
        <w:spacing w:after="150"/>
        <w:ind w:left="720" w:hanging="360"/>
      </w:pPr>
      <w:r>
        <w:rPr>
          <w:b/>
          <w:bCs/>
          <w:color w:val="1F3A5F"/>
        </w:rPr>
        <w:t xml:space="preserve">(a)	</w:t>
      </w:r>
      <w:r>
        <w:t xml:space="preserve">Establishment. Prior to the determination, the Applicant shall deposit with the [County] the sum of $[___] to a review account established for this development. The account is the sole source of the Assessor’s fees and reasonable disbursements.</w:t>
      </w:r>
    </w:p>
    <w:p>
      <w:pPr>
        <w:spacing w:after="150"/>
        <w:ind w:left="720" w:hanging="360"/>
      </w:pPr>
      <w:r>
        <w:rPr>
          <w:b/>
          <w:bCs/>
          <w:color w:val="1F3A5F"/>
        </w:rPr>
        <w:t xml:space="preserve">(b)	</w:t>
      </w:r>
      <w:r>
        <w:t xml:space="preserve">Replenishment. Where the balance falls below $[___], the Applicant shall replenish the account within [15] days of written notice. Review is suspended, and any applicable review period tolled, while the account is below that balance.</w:t>
      </w:r>
    </w:p>
    <w:p>
      <w:pPr>
        <w:spacing w:after="150"/>
        <w:ind w:left="720" w:hanging="360"/>
      </w:pPr>
      <w:r>
        <w:rPr>
          <w:b/>
          <w:bCs/>
          <w:color w:val="1F3A5F"/>
        </w:rPr>
        <w:t xml:space="preserve">(c)	</w:t>
      </w:r>
      <w:r>
        <w:t xml:space="preserve">Direction. The [County] alone shall select, instruct and, if it thinks fit, remove the Assessor. The Applicant shall have no right to select, direct, instruct or communicate with the Assessor except through the [County] or as the [County] permits in writing.</w:t>
      </w:r>
    </w:p>
    <w:p>
      <w:pPr>
        <w:spacing w:after="150"/>
        <w:ind w:left="720" w:hanging="360"/>
      </w:pPr>
      <w:r>
        <w:rPr>
          <w:b/>
          <w:bCs/>
          <w:color w:val="1F3A5F"/>
        </w:rPr>
        <w:t xml:space="preserve">(d)	</w:t>
      </w:r>
      <w:r>
        <w:t xml:space="preserve">Accounting and refund. The [County] shall account to the Applicant for sums drawn, and shall refund any unexpended balance within [60] days of the determination becoming final.</w:t>
      </w:r>
    </w:p>
    <w:p>
      <w:pPr>
        <w:spacing w:after="150"/>
        <w:ind w:left="720" w:hanging="360"/>
      </w:pPr>
      <w:r>
        <w:rPr>
          <w:b/>
          <w:bCs/>
          <w:color w:val="1F3A5F"/>
        </w:rPr>
        <w:t xml:space="preserve">(e)	</w:t>
      </w:r>
      <w:r>
        <w:t xml:space="preserve">No county liability. The [County] shall have no liability for the Assessor’s fees beyond the balance of the review account.</w:t>
      </w:r>
    </w:p>
    <w:p>
      <w:pPr>
        <w:pStyle w:val="Note"/>
        <w:pBdr>
          <w:left w:val="single" w:color="A9610A" w:sz="10" w:space="10"/>
        </w:pBdr>
        <w:spacing w:after="220" w:before="120"/>
        <w:ind w:left="360"/>
      </w:pPr>
      <w:r>
        <w:rPr>
          <w:b/>
          <w:bCs/>
          <w:i/>
          <w:iCs/>
          <w:color w:val="A9610A"/>
        </w:rPr>
        <w:t xml:space="preserve">On (b).  </w:t>
      </w:r>
      <w:r>
        <w:rPr>
          <w:i/>
          <w:iCs/>
          <w:color w:val="4A5568"/>
        </w:rPr>
        <w:t xml:space="preserve">The tolling provision is what stops the account becoming a lever. Without it, an applicant facing an unwelcome determination can simply stop replenishing and run the review period out. With it, the clock stops instead of the review.</w:t>
      </w:r>
    </w:p>
    <w:p>
      <w:pPr>
        <w:pStyle w:val="Note"/>
        <w:pBdr>
          <w:left w:val="single" w:color="A9610A" w:sz="10" w:space="10"/>
        </w:pBdr>
        <w:spacing w:after="220" w:before="120"/>
        <w:ind w:left="360"/>
      </w:pPr>
      <w:r>
        <w:rPr>
          <w:b/>
          <w:bCs/>
          <w:i/>
          <w:iCs/>
          <w:color w:val="A9610A"/>
        </w:rPr>
        <w:t xml:space="preserve">On (c).  </w:t>
      </w:r>
      <w:r>
        <w:rPr>
          <w:i/>
          <w:iCs/>
          <w:color w:val="4A5568"/>
        </w:rPr>
        <w:t xml:space="preserve">This paragraph is the whole mechanism. The money moves from the applicant, but the instruction moves from the county — and the assessor’s professional duty follows the instruction, not the money. Expect to explain this distinction more than once.</w:t>
      </w:r>
    </w:p>
    <w:p>
      <w:pPr>
        <w:pStyle w:val="Heading1"/>
      </w:pPr>
      <w:r>
        <w:t xml:space="preserve">Part 2 — Assessor conduct and conflicts</w:t>
      </w:r>
    </w:p>
    <w:p>
      <w:r>
        <w:t xml:space="preserve">These rules exist to survive the single question an applicant’s counsel will ask in a hearing: what interest does the person who set this number have in its size?</w:t>
      </w:r>
    </w:p>
    <w:p>
      <w:pPr>
        <w:pStyle w:val="Heading3"/>
      </w:pPr>
      <w:r>
        <w:t xml:space="preserve">2.1  Duty</w:t>
      </w:r>
    </w:p>
    <w:p>
      <w:pPr>
        <w:spacing w:after="150"/>
        <w:ind w:left="720" w:hanging="360"/>
      </w:pPr>
      <w:r>
        <w:rPr>
          <w:b/>
          <w:bCs/>
          <w:color w:val="1F3A5F"/>
        </w:rPr>
        <w:t xml:space="preserve">(a)	</w:t>
      </w:r>
      <w:r>
        <w:t xml:space="preserve">The Assessor owes its professional duty to the [County], notwithstanding that its fee is funded by the Applicant.</w:t>
      </w:r>
    </w:p>
    <w:p>
      <w:pPr>
        <w:pStyle w:val="Heading3"/>
      </w:pPr>
      <w:r>
        <w:t xml:space="preserve">2.2  Prohibited interests</w:t>
      </w:r>
    </w:p>
    <w:p>
      <w:pPr>
        <w:spacing w:after="150"/>
        <w:ind w:left="720" w:hanging="360"/>
      </w:pPr>
      <w:r>
        <w:rPr>
          <w:b/>
          <w:bCs/>
          <w:color w:val="1F3A5F"/>
        </w:rPr>
        <w:t xml:space="preserve">(b)	</w:t>
      </w:r>
      <w:r>
        <w:t xml:space="preserve">No fee payable to the Assessor, or to any person participating in the preparation or review of a determination, shall be indexed to, contingent upon, or otherwise calculated by reference to </w:t>
      </w:r>
      <w:r>
        <w:rPr>
          <w:b/>
          <w:bCs/>
        </w:rPr>
        <w:t xml:space="preserve">the amount of assurance determined</w:t>
      </w:r>
      <w:r>
        <w:t xml:space="preserve">.</w:t>
      </w:r>
    </w:p>
    <w:p>
      <w:pPr>
        <w:spacing w:after="150"/>
        <w:ind w:left="720" w:hanging="360"/>
      </w:pPr>
      <w:r>
        <w:rPr>
          <w:b/>
          <w:bCs/>
          <w:color w:val="1F3A5F"/>
        </w:rPr>
        <w:t xml:space="preserve">(c)	</w:t>
      </w:r>
      <w:r>
        <w:t xml:space="preserve">No such person shall receive compensation, directly or indirectly, from the placement, brokerage or underwriting of any instrument offered to satisfy the requirement.</w:t>
      </w:r>
    </w:p>
    <w:p>
      <w:pPr>
        <w:spacing w:after="150"/>
        <w:ind w:left="720" w:hanging="360"/>
      </w:pPr>
      <w:r>
        <w:rPr>
          <w:b/>
          <w:bCs/>
          <w:color w:val="1F3A5F"/>
        </w:rPr>
        <w:t xml:space="preserve">(d)	</w:t>
      </w:r>
      <w:r>
        <w:t xml:space="preserve">No such person shall hold a financial interest in the development, the Applicant, or any affiliate of either, or have provided services to the Applicant in respect of the development within the preceding [24] months.</w:t>
      </w:r>
    </w:p>
    <w:p>
      <w:pPr>
        <w:pStyle w:val="Heading3"/>
      </w:pPr>
      <w:r>
        <w:t xml:space="preserve">2.3  Disclosure</w:t>
      </w:r>
    </w:p>
    <w:p>
      <w:pPr>
        <w:spacing w:after="150"/>
        <w:ind w:left="720" w:hanging="360"/>
      </w:pPr>
      <w:r>
        <w:rPr>
          <w:b/>
          <w:bCs/>
          <w:color w:val="1F3A5F"/>
        </w:rPr>
        <w:t xml:space="preserve">(e)	</w:t>
      </w:r>
      <w:r>
        <w:t xml:space="preserve">Before appointment, the Assessor shall disclose in writing every engagement it or its affiliates have had with the Applicant or its affiliates in the preceding [36] months, and shall update that disclosure on becoming aware of any new matter.</w:t>
      </w:r>
    </w:p>
    <w:p>
      <w:pPr>
        <w:pStyle w:val="Heading3"/>
      </w:pPr>
      <w:r>
        <w:t xml:space="preserve">2.4  Record and reproducibility</w:t>
      </w:r>
    </w:p>
    <w:p>
      <w:pPr>
        <w:spacing w:after="150"/>
        <w:ind w:left="720" w:hanging="360"/>
      </w:pPr>
      <w:r>
        <w:rPr>
          <w:b/>
          <w:bCs/>
          <w:color w:val="1F3A5F"/>
        </w:rPr>
        <w:t xml:space="preserve">(f)	</w:t>
      </w:r>
      <w:r>
        <w:t xml:space="preserve">The Assessor shall retain, for not less than [7] years, every document relied upon and the record binding each input to the document from which it was drawn, and shall make that record available to the [County] on request.</w:t>
      </w:r>
    </w:p>
    <w:p>
      <w:pPr>
        <w:spacing w:after="150"/>
        <w:ind w:left="720" w:hanging="360"/>
      </w:pPr>
      <w:r>
        <w:rPr>
          <w:b/>
          <w:bCs/>
          <w:color w:val="1F3A5F"/>
        </w:rPr>
        <w:t xml:space="preserve">(g)	</w:t>
      </w:r>
      <w:r>
        <w:t xml:space="preserve">The determination shall be prepared so that a second qualified reviewer working from the same record can reproduce it, or else identify the specific input on which they differ.</w:t>
      </w:r>
    </w:p>
    <w:p>
      <w:pPr>
        <w:pStyle w:val="Heading3"/>
      </w:pPr>
      <w:r>
        <w:t xml:space="preserve">2.5  Removal</w:t>
      </w:r>
    </w:p>
    <w:p>
      <w:pPr>
        <w:spacing w:after="150"/>
        <w:ind w:left="720" w:hanging="360"/>
      </w:pPr>
      <w:r>
        <w:rPr>
          <w:b/>
          <w:bCs/>
          <w:color w:val="1F3A5F"/>
        </w:rPr>
        <w:t xml:space="preserve">(h)	</w:t>
      </w:r>
      <w:r>
        <w:t xml:space="preserve">The [County] may remove the Assessor at any time. Removal does not entitle the Applicant to a refund of sums properly drawn, nor relieve the Applicant of the obligation to fund a replacement.</w:t>
      </w:r>
    </w:p>
    <w:p>
      <w:pPr>
        <w:pStyle w:val="Note"/>
        <w:pBdr>
          <w:left w:val="single" w:color="A9610A" w:sz="10" w:space="10"/>
        </w:pBdr>
        <w:spacing w:after="220" w:before="120"/>
        <w:ind w:left="360"/>
      </w:pPr>
      <w:r>
        <w:rPr>
          <w:b/>
          <w:bCs/>
          <w:i/>
          <w:iCs/>
          <w:color w:val="A9610A"/>
        </w:rPr>
        <w:t xml:space="preserve">On 2.4(g).  </w:t>
      </w:r>
      <w:r>
        <w:rPr>
          <w:i/>
          <w:iCs/>
          <w:color w:val="4A5568"/>
        </w:rPr>
        <w:t xml:space="preserve">This is the provision that distinguishes a determination from an opinion. An opinion is defended by the credentials of the person who gave it. A determination is defended by the fact that someone else, working from the same documents, must reach the same number or say precisely where they part company.</w:t>
      </w:r>
    </w:p>
    <w:p>
      <w:pPr>
        <w:pStyle w:val="Heading1"/>
      </w:pPr>
      <w:r>
        <w:t xml:space="preserve">Part 3 — Release and step-down</w:t>
      </w:r>
    </w:p>
    <w:p>
      <w:r>
        <w:t xml:space="preserve">Security that is released on a calendar is released when the calendar says so, not when the risk has actually fallen — and it commonly expires just as the obligation it secures matures. Release against conditions fixes both problems and gives the applicant something to work toward.</w:t>
      </w:r>
    </w:p>
    <w:p>
      <w:pPr>
        <w:pStyle w:val="Heading3"/>
      </w:pPr>
      <w:r>
        <w:t xml:space="preserve">3.1  Model schedule</w:t>
      </w:r>
    </w:p>
    <w:p>
      <w:pPr>
        <w:pStyle w:val="Meta"/>
      </w:pPr>
      <w:r>
        <w:t xml:space="preserve">The schedule below is a template. Conditions and percentages are for adaptation; what matters is that every step is tied to a verifiable event and none is tied to elapsed time alone.</w:t>
      </w:r>
    </w:p>
    <w:tbl>
      <w:tblPr>
        <w:tblW w:type="dxa" w:w="9720"/>
        <w:tblBorders>
          <w:top w:val="single" w:color="C9D2DD" w:sz="4"/>
          <w:left w:val="none"/>
          <w:bottom w:val="single" w:color="C9D2DD" w:sz="4"/>
          <w:right w:val="none"/>
          <w:insideH w:val="single" w:color="C9D2DD" w:sz="2"/>
          <w:insideV w:val="none"/>
        </w:tblBorders>
      </w:tblPr>
      <w:tblGrid>
        <w:gridCol w:w="700"/>
        <w:gridCol w:w="4300"/>
        <w:gridCol w:w="2800"/>
        <w:gridCol w:w="1920"/>
      </w:tblGrid>
      <w:tr>
        <w:trPr>
          <w:tblHeader/>
        </w:trPr>
        <w:tc>
          <w:tcPr>
            <w:tcW w:type="dxa" w:w="700"/>
            <w:shd w:fill="1F3A5F" w:color="auto" w:val="clear"/>
            <w:tcMar>
              <w:top w:type="dxa" w:w="70"/>
              <w:left w:type="dxa" w:w="100"/>
              <w:bottom w:type="dxa" w:w="70"/>
              <w:right w:type="dxa" w:w="100"/>
            </w:tcMar>
          </w:tcPr>
          <w:p>
            <w:pPr>
              <w:spacing w:after="0"/>
            </w:pPr>
            <w:r>
              <w:rPr>
                <w:b/>
                <w:bCs/>
                <w:color w:val="FFFFFF"/>
                <w:sz w:val="19"/>
                <w:szCs w:val="19"/>
              </w:rPr>
              <w:t xml:space="preserve">Step</w:t>
            </w:r>
          </w:p>
        </w:tc>
        <w:tc>
          <w:tcPr>
            <w:tcW w:type="dxa" w:w="4300"/>
            <w:shd w:fill="1F3A5F" w:color="auto" w:val="clear"/>
            <w:tcMar>
              <w:top w:type="dxa" w:w="70"/>
              <w:left w:type="dxa" w:w="100"/>
              <w:bottom w:type="dxa" w:w="70"/>
              <w:right w:type="dxa" w:w="100"/>
            </w:tcMar>
          </w:tcPr>
          <w:p>
            <w:pPr>
              <w:spacing w:after="0"/>
            </w:pPr>
            <w:r>
              <w:rPr>
                <w:b/>
                <w:bCs/>
                <w:color w:val="FFFFFF"/>
                <w:sz w:val="19"/>
                <w:szCs w:val="19"/>
              </w:rPr>
              <w:t xml:space="preserve">Condition satisfied</w:t>
            </w:r>
          </w:p>
        </w:tc>
        <w:tc>
          <w:tcPr>
            <w:tcW w:type="dxa" w:w="2800"/>
            <w:shd w:fill="1F3A5F" w:color="auto" w:val="clear"/>
            <w:tcMar>
              <w:top w:type="dxa" w:w="70"/>
              <w:left w:type="dxa" w:w="100"/>
              <w:bottom w:type="dxa" w:w="70"/>
              <w:right w:type="dxa" w:w="100"/>
            </w:tcMar>
          </w:tcPr>
          <w:p>
            <w:pPr>
              <w:spacing w:after="0"/>
            </w:pPr>
            <w:r>
              <w:rPr>
                <w:b/>
                <w:bCs/>
                <w:color w:val="FFFFFF"/>
                <w:sz w:val="19"/>
                <w:szCs w:val="19"/>
              </w:rPr>
              <w:t xml:space="preserve">Verified by</w:t>
            </w:r>
          </w:p>
        </w:tc>
        <w:tc>
          <w:tcPr>
            <w:tcW w:type="dxa" w:w="1920"/>
            <w:shd w:fill="1F3A5F" w:color="auto" w:val="clear"/>
            <w:tcMar>
              <w:top w:type="dxa" w:w="70"/>
              <w:left w:type="dxa" w:w="100"/>
              <w:bottom w:type="dxa" w:w="70"/>
              <w:right w:type="dxa" w:w="100"/>
            </w:tcMar>
          </w:tcPr>
          <w:p>
            <w:pPr>
              <w:spacing w:after="0"/>
            </w:pPr>
            <w:r>
              <w:rPr>
                <w:b/>
                <w:bCs/>
                <w:color w:val="FFFFFF"/>
                <w:sz w:val="19"/>
                <w:szCs w:val="19"/>
              </w:rPr>
              <w:t xml:space="preserve">Remaining</w:t>
            </w:r>
          </w:p>
        </w:tc>
      </w:tr>
      <w:tr>
        <w:tc>
          <w:tcPr>
            <w:tcW w:type="dxa" w:w="700"/>
            <w:shd w:fill="EDF2F7" w:color="auto" w:val="clear"/>
            <w:tcMar>
              <w:top w:type="dxa" w:w="70"/>
              <w:left w:type="dxa" w:w="100"/>
              <w:bottom w:type="dxa" w:w="70"/>
              <w:right w:type="dxa" w:w="100"/>
            </w:tcMar>
          </w:tcPr>
          <w:p>
            <w:pPr>
              <w:spacing w:after="0"/>
            </w:pPr>
            <w:r>
              <w:rPr>
                <w:b w:val="false"/>
                <w:bCs w:val="false"/>
                <w:sz w:val="20"/>
                <w:szCs w:val="20"/>
              </w:rPr>
              <w:t xml:space="preserve">—</w:t>
            </w:r>
          </w:p>
        </w:tc>
        <w:tc>
          <w:tcPr>
            <w:tcW w:type="dxa" w:w="4300"/>
            <w:shd w:fill="FFFFFF" w:color="auto" w:val="clear"/>
            <w:tcMar>
              <w:top w:type="dxa" w:w="70"/>
              <w:left w:type="dxa" w:w="100"/>
              <w:bottom w:type="dxa" w:w="70"/>
              <w:right w:type="dxa" w:w="100"/>
            </w:tcMar>
          </w:tcPr>
          <w:p>
            <w:pPr>
              <w:spacing w:after="0"/>
            </w:pPr>
            <w:r>
              <w:rPr>
                <w:b w:val="false"/>
                <w:bCs w:val="false"/>
                <w:sz w:val="20"/>
                <w:szCs w:val="20"/>
              </w:rPr>
              <w:t xml:space="preserve">Certificate of occupancy issued for the first structure</w:t>
            </w:r>
          </w:p>
        </w:tc>
        <w:tc>
          <w:tcPr>
            <w:tcW w:type="dxa" w:w="2800"/>
            <w:shd w:fill="FFFFFF" w:color="auto" w:val="clear"/>
            <w:tcMar>
              <w:top w:type="dxa" w:w="70"/>
              <w:left w:type="dxa" w:w="100"/>
              <w:bottom w:type="dxa" w:w="70"/>
              <w:right w:type="dxa" w:w="100"/>
            </w:tcMar>
          </w:tcPr>
          <w:p>
            <w:pPr>
              <w:spacing w:after="0"/>
            </w:pPr>
            <w:r>
              <w:rPr>
                <w:b w:val="false"/>
                <w:bCs w:val="false"/>
                <w:sz w:val="20"/>
                <w:szCs w:val="20"/>
              </w:rPr>
              <w:t xml:space="preserve">Building official</w:t>
            </w:r>
          </w:p>
        </w:tc>
        <w:tc>
          <w:tcPr>
            <w:tcW w:type="dxa" w:w="1920"/>
            <w:shd w:fill="FFFFFF" w:color="auto" w:val="clear"/>
            <w:tcMar>
              <w:top w:type="dxa" w:w="70"/>
              <w:left w:type="dxa" w:w="100"/>
              <w:bottom w:type="dxa" w:w="70"/>
              <w:right w:type="dxa" w:w="100"/>
            </w:tcMar>
          </w:tcPr>
          <w:p>
            <w:pPr>
              <w:spacing w:after="0"/>
            </w:pPr>
            <w:r>
              <w:rPr>
                <w:b w:val="false"/>
                <w:bCs w:val="false"/>
                <w:sz w:val="20"/>
                <w:szCs w:val="20"/>
              </w:rPr>
              <w:t xml:space="preserve">100%</w:t>
            </w:r>
          </w:p>
        </w:tc>
      </w:tr>
      <w:tr>
        <w:tc>
          <w:tcPr>
            <w:tcW w:type="dxa" w:w="700"/>
            <w:shd w:fill="EDF2F7" w:color="auto" w:val="clear"/>
            <w:tcMar>
              <w:top w:type="dxa" w:w="70"/>
              <w:left w:type="dxa" w:w="100"/>
              <w:bottom w:type="dxa" w:w="70"/>
              <w:right w:type="dxa" w:w="100"/>
            </w:tcMar>
          </w:tcPr>
          <w:p>
            <w:pPr>
              <w:spacing w:after="0"/>
            </w:pPr>
            <w:r>
              <w:rPr>
                <w:b w:val="false"/>
                <w:bCs w:val="false"/>
                <w:sz w:val="20"/>
                <w:szCs w:val="20"/>
              </w:rPr>
              <w:t xml:space="preserve">1</w:t>
            </w:r>
          </w:p>
        </w:tc>
        <w:tc>
          <w:tcPr>
            <w:tcW w:type="dxa" w:w="4300"/>
            <w:shd w:fill="F7FAFC" w:color="auto" w:val="clear"/>
            <w:tcMar>
              <w:top w:type="dxa" w:w="70"/>
              <w:left w:type="dxa" w:w="100"/>
              <w:bottom w:type="dxa" w:w="70"/>
              <w:right w:type="dxa" w:w="100"/>
            </w:tcMar>
          </w:tcPr>
          <w:p>
            <w:pPr>
              <w:spacing w:after="0"/>
            </w:pPr>
            <w:r>
              <w:rPr>
                <w:b w:val="false"/>
                <w:bCs w:val="false"/>
                <w:sz w:val="20"/>
                <w:szCs w:val="20"/>
              </w:rPr>
              <w:t xml:space="preserve">Off-site transportation improvements completed and accepted</w:t>
            </w:r>
          </w:p>
        </w:tc>
        <w:tc>
          <w:tcPr>
            <w:tcW w:type="dxa" w:w="2800"/>
            <w:shd w:fill="F7FAFC" w:color="auto" w:val="clear"/>
            <w:tcMar>
              <w:top w:type="dxa" w:w="70"/>
              <w:left w:type="dxa" w:w="100"/>
              <w:bottom w:type="dxa" w:w="70"/>
              <w:right w:type="dxa" w:w="100"/>
            </w:tcMar>
          </w:tcPr>
          <w:p>
            <w:pPr>
              <w:spacing w:after="0"/>
            </w:pPr>
            <w:r>
              <w:rPr>
                <w:b w:val="false"/>
                <w:bCs w:val="false"/>
                <w:sz w:val="20"/>
                <w:szCs w:val="20"/>
              </w:rPr>
              <w:t xml:space="preserve">County engineer, written acceptance</w:t>
            </w:r>
          </w:p>
        </w:tc>
        <w:tc>
          <w:tcPr>
            <w:tcW w:type="dxa" w:w="1920"/>
            <w:shd w:fill="F7FAFC" w:color="auto" w:val="clear"/>
            <w:tcMar>
              <w:top w:type="dxa" w:w="70"/>
              <w:left w:type="dxa" w:w="100"/>
              <w:bottom w:type="dxa" w:w="70"/>
              <w:right w:type="dxa" w:w="100"/>
            </w:tcMar>
          </w:tcPr>
          <w:p>
            <w:pPr>
              <w:spacing w:after="0"/>
            </w:pPr>
            <w:r>
              <w:rPr>
                <w:b w:val="false"/>
                <w:bCs w:val="false"/>
                <w:sz w:val="20"/>
                <w:szCs w:val="20"/>
              </w:rPr>
              <w:t xml:space="preserve">85%</w:t>
            </w:r>
          </w:p>
        </w:tc>
      </w:tr>
      <w:tr>
        <w:tc>
          <w:tcPr>
            <w:tcW w:type="dxa" w:w="700"/>
            <w:shd w:fill="EDF2F7" w:color="auto" w:val="clear"/>
            <w:tcMar>
              <w:top w:type="dxa" w:w="70"/>
              <w:left w:type="dxa" w:w="100"/>
              <w:bottom w:type="dxa" w:w="70"/>
              <w:right w:type="dxa" w:w="100"/>
            </w:tcMar>
          </w:tcPr>
          <w:p>
            <w:pPr>
              <w:spacing w:after="0"/>
            </w:pPr>
            <w:r>
              <w:rPr>
                <w:b w:val="false"/>
                <w:bCs w:val="false"/>
                <w:sz w:val="20"/>
                <w:szCs w:val="20"/>
              </w:rPr>
              <w:t xml:space="preserve">2</w:t>
            </w:r>
          </w:p>
        </w:tc>
        <w:tc>
          <w:tcPr>
            <w:tcW w:type="dxa" w:w="4300"/>
            <w:shd w:fill="FFFFFF" w:color="auto" w:val="clear"/>
            <w:tcMar>
              <w:top w:type="dxa" w:w="70"/>
              <w:left w:type="dxa" w:w="100"/>
              <w:bottom w:type="dxa" w:w="70"/>
              <w:right w:type="dxa" w:w="100"/>
            </w:tcMar>
          </w:tcPr>
          <w:p>
            <w:pPr>
              <w:spacing w:after="0"/>
            </w:pPr>
            <w:r>
              <w:rPr>
                <w:b w:val="false"/>
                <w:bCs w:val="false"/>
                <w:sz w:val="20"/>
                <w:szCs w:val="20"/>
              </w:rPr>
              <w:t xml:space="preserve">Interconnection energised and utility infrastructure conveyed or accepted</w:t>
            </w:r>
          </w:p>
        </w:tc>
        <w:tc>
          <w:tcPr>
            <w:tcW w:type="dxa" w:w="2800"/>
            <w:shd w:fill="FFFFFF" w:color="auto" w:val="clear"/>
            <w:tcMar>
              <w:top w:type="dxa" w:w="70"/>
              <w:left w:type="dxa" w:w="100"/>
              <w:bottom w:type="dxa" w:w="70"/>
              <w:right w:type="dxa" w:w="100"/>
            </w:tcMar>
          </w:tcPr>
          <w:p>
            <w:pPr>
              <w:spacing w:after="0"/>
            </w:pPr>
            <w:r>
              <w:rPr>
                <w:b w:val="false"/>
                <w:bCs w:val="false"/>
                <w:sz w:val="20"/>
                <w:szCs w:val="20"/>
              </w:rPr>
              <w:t xml:space="preserve">Utility written confirmation</w:t>
            </w:r>
          </w:p>
        </w:tc>
        <w:tc>
          <w:tcPr>
            <w:tcW w:type="dxa" w:w="1920"/>
            <w:shd w:fill="FFFFFF" w:color="auto" w:val="clear"/>
            <w:tcMar>
              <w:top w:type="dxa" w:w="70"/>
              <w:left w:type="dxa" w:w="100"/>
              <w:bottom w:type="dxa" w:w="70"/>
              <w:right w:type="dxa" w:w="100"/>
            </w:tcMar>
          </w:tcPr>
          <w:p>
            <w:pPr>
              <w:spacing w:after="0"/>
            </w:pPr>
            <w:r>
              <w:rPr>
                <w:b w:val="false"/>
                <w:bCs w:val="false"/>
                <w:sz w:val="20"/>
                <w:szCs w:val="20"/>
              </w:rPr>
              <w:t xml:space="preserve">70%</w:t>
            </w:r>
          </w:p>
        </w:tc>
      </w:tr>
      <w:tr>
        <w:tc>
          <w:tcPr>
            <w:tcW w:type="dxa" w:w="700"/>
            <w:shd w:fill="EDF2F7" w:color="auto" w:val="clear"/>
            <w:tcMar>
              <w:top w:type="dxa" w:w="70"/>
              <w:left w:type="dxa" w:w="100"/>
              <w:bottom w:type="dxa" w:w="70"/>
              <w:right w:type="dxa" w:w="100"/>
            </w:tcMar>
          </w:tcPr>
          <w:p>
            <w:pPr>
              <w:spacing w:after="0"/>
            </w:pPr>
            <w:r>
              <w:rPr>
                <w:b w:val="false"/>
                <w:bCs w:val="false"/>
                <w:sz w:val="20"/>
                <w:szCs w:val="20"/>
              </w:rPr>
              <w:t xml:space="preserve">3</w:t>
            </w:r>
          </w:p>
        </w:tc>
        <w:tc>
          <w:tcPr>
            <w:tcW w:type="dxa" w:w="4300"/>
            <w:shd w:fill="F7FAFC" w:color="auto" w:val="clear"/>
            <w:tcMar>
              <w:top w:type="dxa" w:w="70"/>
              <w:left w:type="dxa" w:w="100"/>
              <w:bottom w:type="dxa" w:w="70"/>
              <w:right w:type="dxa" w:w="100"/>
            </w:tcMar>
          </w:tcPr>
          <w:p>
            <w:pPr>
              <w:spacing w:after="0"/>
            </w:pPr>
            <w:r>
              <w:rPr>
                <w:b w:val="false"/>
                <w:bCs w:val="false"/>
                <w:sz w:val="20"/>
                <w:szCs w:val="20"/>
              </w:rPr>
              <w:t xml:space="preserve">Closure and restoration estimate independently reviewed and refiled</w:t>
            </w:r>
          </w:p>
        </w:tc>
        <w:tc>
          <w:tcPr>
            <w:tcW w:type="dxa" w:w="2800"/>
            <w:shd w:fill="F7FAFC" w:color="auto" w:val="clear"/>
            <w:tcMar>
              <w:top w:type="dxa" w:w="70"/>
              <w:left w:type="dxa" w:w="100"/>
              <w:bottom w:type="dxa" w:w="70"/>
              <w:right w:type="dxa" w:w="100"/>
            </w:tcMar>
          </w:tcPr>
          <w:p>
            <w:pPr>
              <w:spacing w:after="0"/>
            </w:pPr>
            <w:r>
              <w:rPr>
                <w:b w:val="false"/>
                <w:bCs w:val="false"/>
                <w:sz w:val="20"/>
                <w:szCs w:val="20"/>
              </w:rPr>
              <w:t xml:space="preserve">Assessor, on redetermination</w:t>
            </w:r>
          </w:p>
        </w:tc>
        <w:tc>
          <w:tcPr>
            <w:tcW w:type="dxa" w:w="1920"/>
            <w:shd w:fill="F7FAFC" w:color="auto" w:val="clear"/>
            <w:tcMar>
              <w:top w:type="dxa" w:w="70"/>
              <w:left w:type="dxa" w:w="100"/>
              <w:bottom w:type="dxa" w:w="70"/>
              <w:right w:type="dxa" w:w="100"/>
            </w:tcMar>
          </w:tcPr>
          <w:p>
            <w:pPr>
              <w:spacing w:after="0"/>
            </w:pPr>
            <w:r>
              <w:rPr>
                <w:b w:val="false"/>
                <w:bCs w:val="false"/>
                <w:sz w:val="20"/>
                <w:szCs w:val="20"/>
              </w:rPr>
              <w:t xml:space="preserve">50%</w:t>
            </w:r>
          </w:p>
        </w:tc>
      </w:tr>
      <w:tr>
        <w:tc>
          <w:tcPr>
            <w:tcW w:type="dxa" w:w="700"/>
            <w:shd w:fill="EDF2F7" w:color="auto" w:val="clear"/>
            <w:tcMar>
              <w:top w:type="dxa" w:w="70"/>
              <w:left w:type="dxa" w:w="100"/>
              <w:bottom w:type="dxa" w:w="70"/>
              <w:right w:type="dxa" w:w="100"/>
            </w:tcMar>
          </w:tcPr>
          <w:p>
            <w:pPr>
              <w:spacing w:after="0"/>
            </w:pPr>
            <w:r>
              <w:rPr>
                <w:b w:val="false"/>
                <w:bCs w:val="false"/>
                <w:sz w:val="20"/>
                <w:szCs w:val="20"/>
              </w:rPr>
              <w:t xml:space="preserve">4</w:t>
            </w:r>
          </w:p>
        </w:tc>
        <w:tc>
          <w:tcPr>
            <w:tcW w:type="dxa" w:w="4300"/>
            <w:shd w:fill="FFFFFF" w:color="auto" w:val="clear"/>
            <w:tcMar>
              <w:top w:type="dxa" w:w="70"/>
              <w:left w:type="dxa" w:w="100"/>
              <w:bottom w:type="dxa" w:w="70"/>
              <w:right w:type="dxa" w:w="100"/>
            </w:tcMar>
          </w:tcPr>
          <w:p>
            <w:pPr>
              <w:spacing w:after="0"/>
            </w:pPr>
            <w:r>
              <w:rPr>
                <w:b w:val="false"/>
                <w:bCs w:val="false"/>
                <w:sz w:val="20"/>
                <w:szCs w:val="20"/>
              </w:rPr>
              <w:t xml:space="preserve">Recapture or clawback period elapsed with no event of recapture</w:t>
            </w:r>
          </w:p>
        </w:tc>
        <w:tc>
          <w:tcPr>
            <w:tcW w:type="dxa" w:w="2800"/>
            <w:shd w:fill="FFFFFF" w:color="auto" w:val="clear"/>
            <w:tcMar>
              <w:top w:type="dxa" w:w="70"/>
              <w:left w:type="dxa" w:w="100"/>
              <w:bottom w:type="dxa" w:w="70"/>
              <w:right w:type="dxa" w:w="100"/>
            </w:tcMar>
          </w:tcPr>
          <w:p>
            <w:pPr>
              <w:spacing w:after="0"/>
            </w:pPr>
            <w:r>
              <w:rPr>
                <w:b w:val="false"/>
                <w:bCs w:val="false"/>
                <w:sz w:val="20"/>
                <w:szCs w:val="20"/>
              </w:rPr>
              <w:t xml:space="preserve">County finance</w:t>
            </w:r>
          </w:p>
        </w:tc>
        <w:tc>
          <w:tcPr>
            <w:tcW w:type="dxa" w:w="1920"/>
            <w:shd w:fill="FFFFFF" w:color="auto" w:val="clear"/>
            <w:tcMar>
              <w:top w:type="dxa" w:w="70"/>
              <w:left w:type="dxa" w:w="100"/>
              <w:bottom w:type="dxa" w:w="70"/>
              <w:right w:type="dxa" w:w="100"/>
            </w:tcMar>
          </w:tcPr>
          <w:p>
            <w:pPr>
              <w:spacing w:after="0"/>
            </w:pPr>
            <w:r>
              <w:rPr>
                <w:b w:val="false"/>
                <w:bCs w:val="false"/>
                <w:sz w:val="20"/>
                <w:szCs w:val="20"/>
              </w:rPr>
              <w:t xml:space="preserve">30%</w:t>
            </w:r>
          </w:p>
        </w:tc>
      </w:tr>
      <w:tr>
        <w:tc>
          <w:tcPr>
            <w:tcW w:type="dxa" w:w="700"/>
            <w:shd w:fill="EDF2F7" w:color="auto" w:val="clear"/>
            <w:tcMar>
              <w:top w:type="dxa" w:w="70"/>
              <w:left w:type="dxa" w:w="100"/>
              <w:bottom w:type="dxa" w:w="70"/>
              <w:right w:type="dxa" w:w="100"/>
            </w:tcMar>
          </w:tcPr>
          <w:p>
            <w:pPr>
              <w:spacing w:after="0"/>
            </w:pPr>
            <w:r>
              <w:rPr>
                <w:b w:val="false"/>
                <w:bCs w:val="false"/>
                <w:sz w:val="20"/>
                <w:szCs w:val="20"/>
              </w:rPr>
              <w:t xml:space="preserve">5</w:t>
            </w:r>
          </w:p>
        </w:tc>
        <w:tc>
          <w:tcPr>
            <w:tcW w:type="dxa" w:w="4300"/>
            <w:shd w:fill="F7FAFC" w:color="auto" w:val="clear"/>
            <w:tcMar>
              <w:top w:type="dxa" w:w="70"/>
              <w:left w:type="dxa" w:w="100"/>
              <w:bottom w:type="dxa" w:w="70"/>
              <w:right w:type="dxa" w:w="100"/>
            </w:tcMar>
          </w:tcPr>
          <w:p>
            <w:pPr>
              <w:spacing w:after="0"/>
            </w:pPr>
            <w:r>
              <w:rPr>
                <w:b w:val="false"/>
                <w:bCs w:val="false"/>
                <w:sz w:val="20"/>
                <w:szCs w:val="20"/>
              </w:rPr>
              <w:t xml:space="preserve">Decommissioning completed and site restored to the approved condition</w:t>
            </w:r>
          </w:p>
        </w:tc>
        <w:tc>
          <w:tcPr>
            <w:tcW w:type="dxa" w:w="2800"/>
            <w:shd w:fill="F7FAFC" w:color="auto" w:val="clear"/>
            <w:tcMar>
              <w:top w:type="dxa" w:w="70"/>
              <w:left w:type="dxa" w:w="100"/>
              <w:bottom w:type="dxa" w:w="70"/>
              <w:right w:type="dxa" w:w="100"/>
            </w:tcMar>
          </w:tcPr>
          <w:p>
            <w:pPr>
              <w:spacing w:after="0"/>
            </w:pPr>
            <w:r>
              <w:rPr>
                <w:b w:val="false"/>
                <w:bCs w:val="false"/>
                <w:sz w:val="20"/>
                <w:szCs w:val="20"/>
              </w:rPr>
              <w:t xml:space="preserve">County engineer, written acceptance</w:t>
            </w:r>
          </w:p>
        </w:tc>
        <w:tc>
          <w:tcPr>
            <w:tcW w:type="dxa" w:w="1920"/>
            <w:shd w:fill="F7FAFC" w:color="auto" w:val="clear"/>
            <w:tcMar>
              <w:top w:type="dxa" w:w="70"/>
              <w:left w:type="dxa" w:w="100"/>
              <w:bottom w:type="dxa" w:w="70"/>
              <w:right w:type="dxa" w:w="100"/>
            </w:tcMar>
          </w:tcPr>
          <w:p>
            <w:pPr>
              <w:spacing w:after="0"/>
            </w:pPr>
            <w:r>
              <w:rPr>
                <w:b w:val="false"/>
                <w:bCs w:val="false"/>
                <w:sz w:val="20"/>
                <w:szCs w:val="20"/>
              </w:rPr>
              <w:t xml:space="preserve">0%</w:t>
            </w:r>
          </w:p>
        </w:tc>
      </w:tr>
    </w:tbl>
    <w:p>
      <w:pPr>
        <w:pStyle w:val="Heading3"/>
      </w:pPr>
      <w:r>
        <w:t xml:space="preserve">3.2  Model release language</w:t>
      </w:r>
    </w:p>
    <w:p>
      <w:pPr>
        <w:spacing w:after="150"/>
        <w:ind w:left="720" w:hanging="360"/>
      </w:pPr>
      <w:r>
        <w:rPr>
          <w:b/>
          <w:bCs/>
          <w:color w:val="1F3A5F"/>
        </w:rPr>
        <w:t xml:space="preserve">(a)	</w:t>
      </w:r>
      <w:r>
        <w:t xml:space="preserve">The Required Financial Assurance shall step down in accordance with Schedule [__] as each condition is satisfied and verified, and not by reference to elapsed time alone.</w:t>
      </w:r>
    </w:p>
    <w:p>
      <w:pPr>
        <w:spacing w:after="150"/>
        <w:ind w:left="720" w:hanging="360"/>
      </w:pPr>
      <w:r>
        <w:rPr>
          <w:b/>
          <w:bCs/>
          <w:color w:val="1F3A5F"/>
        </w:rPr>
        <w:t xml:space="preserve">(b)	</w:t>
      </w:r>
      <w:r>
        <w:t xml:space="preserve">The [County] shall release the corresponding portion within [30] days of written verification, and shall not unreasonably withhold or delay verification.</w:t>
      </w:r>
    </w:p>
    <w:p>
      <w:pPr>
        <w:spacing w:after="150"/>
        <w:ind w:left="720" w:hanging="360"/>
      </w:pPr>
      <w:r>
        <w:rPr>
          <w:b/>
          <w:bCs/>
          <w:color w:val="1F3A5F"/>
        </w:rPr>
        <w:t xml:space="preserve">(c)	</w:t>
      </w:r>
      <w:r>
        <w:t xml:space="preserve">No step-down shall occur while any determination is marked stale under MC-6.6, or while the Applicant is in material breach of the [Agreement].</w:t>
      </w:r>
    </w:p>
    <w:p>
      <w:pPr>
        <w:spacing w:after="150"/>
        <w:ind w:left="720" w:hanging="360"/>
      </w:pPr>
      <w:r>
        <w:rPr>
          <w:b/>
          <w:bCs/>
          <w:color w:val="1F3A5F"/>
        </w:rPr>
        <w:t xml:space="preserve">(d)	</w:t>
      </w:r>
      <w:r>
        <w:t xml:space="preserve">No instrument shall expire or be permitted to lapse while any obligation it secures remains outstanding.</w:t>
      </w:r>
    </w:p>
    <w:p>
      <w:pPr>
        <w:pStyle w:val="Note"/>
        <w:pBdr>
          <w:left w:val="single" w:color="A9610A" w:sz="10" w:space="10"/>
        </w:pBdr>
        <w:spacing w:after="220" w:before="120"/>
        <w:ind w:left="360"/>
      </w:pPr>
      <w:r>
        <w:rPr>
          <w:b/>
          <w:bCs/>
          <w:i/>
          <w:iCs/>
          <w:color w:val="A9610A"/>
        </w:rPr>
        <w:t xml:space="preserve">On step 3.  </w:t>
      </w:r>
      <w:r>
        <w:rPr>
          <w:i/>
          <w:iCs/>
          <w:color w:val="4A5568"/>
        </w:rPr>
        <w:t xml:space="preserve">Step 3 is deliberately a redetermination rather than a construction milestone. It is the point at which the applicant can convert its own attested closure estimate into independently reviewed evidence, and it is usually the largest single release available to them. Placing it in the schedule tells the applicant, in the agreement itself, that the work is worth doing.</w:t>
      </w:r>
    </w:p>
    <w:p>
      <w:pPr>
        <w:pStyle w:val="Note"/>
        <w:pBdr>
          <w:left w:val="single" w:color="A9610A" w:sz="10" w:space="10"/>
        </w:pBdr>
        <w:spacing w:after="220" w:before="120"/>
        <w:ind w:left="360"/>
      </w:pPr>
      <w:r>
        <w:rPr>
          <w:b/>
          <w:bCs/>
          <w:i/>
          <w:iCs/>
          <w:color w:val="A9610A"/>
        </w:rPr>
        <w:t xml:space="preserve">On (b).  </w:t>
      </w:r>
      <w:r>
        <w:rPr>
          <w:i/>
          <w:iCs/>
          <w:color w:val="4A5568"/>
        </w:rPr>
        <w:t xml:space="preserve">The reasonableness qualifier matters more than it looks. Without it, the schedule is a promise the county can decline to keep, and an applicant’s counsel will say so during negotiation — correctly.</w:t>
      </w:r>
    </w:p>
    <w:p>
      <w:pPr>
        <w:pBdr>
          <w:bottom w:val="single" w:color="C9D2DD" w:sz="6" w:space="1"/>
        </w:pBdr>
        <w:spacing w:after="160" w:before="60"/>
      </w:pPr>
    </w:p>
    <w:p>
      <w:pPr>
        <w:pStyle w:val="Meta"/>
      </w:pPr>
      <w:r>
        <w:t xml:space="preserve">Drafting material for the assistance of counsel. Not legal advice; no attorney-client relationship is created. Bracketed periods, thresholds and percentages are drafting conventions and must be set to local practice.</w:t>
      </w:r>
    </w:p>
    <w:sectPr>
      <w:headerReference w:type="default" r:id="rId7"/>
      <w:footerReference w:type="default" r:id="rId8"/>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D" w:sz="4" w:space="6"/>
      </w:pBdr>
      <w:spacing w:before="0"/>
    </w:pPr>
    <w:r>
      <w:rPr>
        <w:color w:val="4A5568"/>
        <w:sz w:val="15"/>
        <w:szCs w:val="15"/>
      </w:rPr>
      <w:t xml:space="preserve">DICA adoption kit · v0.6.0 · 7 September 2026. Not legal advice.  </w:t>
    </w:r>
    <w:r>
      <w:rPr>
        <w:color w:val="4A5568"/>
        <w:sz w:val="15"/>
        <w:szCs w:val="15"/>
      </w:rPr>
      <w:t xml:space="preserve">Page </w:t>
    </w:r>
    <w:r>
      <w:rPr>
        <w:color w:val="4A5568"/>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2DD" w:sz="4" w:space="6"/>
      </w:pBdr>
      <w:spacing w:after="0"/>
    </w:pPr>
    <w:r>
      <w:rPr>
        <w:b/>
        <w:bCs/>
        <w:color w:val="1F3A5F"/>
        <w:sz w:val="15"/>
        <w:szCs w:val="15"/>
      </w:rPr>
      <w:t xml:space="preserve">DICA  </w:t>
    </w:r>
    <w:r>
      <w:rPr>
        <w:color w:val="4A5568"/>
        <w:spacing w:val="20"/>
        <w:sz w:val="15"/>
        <w:szCs w:val="15"/>
      </w:rPr>
      <w:t xml:space="preserve">ADOPTION KIT</w:t>
    </w:r>
    <w:r>
      <w:rPr>
        <w:color w:val="4A5568"/>
        <w:sz w:val="15"/>
        <w:szCs w:val="15"/>
      </w:rPr>
      <w:t xml:space="preserve">		Adoption mechanics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lvl w:ilvl="1" w15:tentative="1">
      <w:start w:val="1"/>
      <w:numFmt w:val="bullet"/>
      <w:lvlText w:val="–"/>
      <w:lvlJc w:val="left"/>
      <w:pPr>
        <w:ind w:left="835" w:hanging="259"/>
      </w:pPr>
    </w:lvl>
  </w:abstractNum>
  <w:abstractNum w:abstractNumId="3" w15:restartNumberingAfterBreak="0">
    <w:multiLevelType w:val="hybridMultilevel"/>
    <w:lvl w:ilvl="0" w15:tentative="1">
      <w:start w:val="1"/>
      <w:numFmt w:val="decimal"/>
      <w:lvlText w:val="%1."/>
      <w:lvlJc w:val="left"/>
      <w:pPr>
        <w:ind w:left="460" w:hanging="316"/>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pPr>
        <w:spacing w:after="13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50" w:before="380"/>
    </w:pPr>
    <w:rPr>
      <w:rFonts w:ascii="Calibri" w:cs="Calibri" w:eastAsia="Calibri" w:hAnsi="Calibri"/>
      <w:b/>
      <w:bCs/>
      <w:color w:val="1F3A5F"/>
      <w:sz w:val="30"/>
      <w:szCs w:val="30"/>
    </w:rPr>
  </w:style>
  <w:style w:type="paragraph" w:styleId="Heading2">
    <w:name w:val="Heading 2"/>
    <w:basedOn w:val="Normal"/>
    <w:next w:val="Normal"/>
    <w:qFormat/>
    <w:pPr>
      <w:spacing w:after="100" w:before="260"/>
    </w:pPr>
    <w:rPr>
      <w:rFonts w:ascii="Calibri" w:cs="Calibri" w:eastAsia="Calibri" w:hAnsi="Calibri"/>
      <w:b/>
      <w:bCs/>
      <w:color w:val="1F3A5F"/>
      <w:sz w:val="23"/>
      <w:szCs w:val="23"/>
    </w:rPr>
  </w:style>
  <w:style w:type="paragraph" w:styleId="Heading3">
    <w:name w:val="Heading 3"/>
    <w:basedOn w:val="Normal"/>
    <w:next w:val="Normal"/>
    <w:qFormat/>
    <w:pPr>
      <w:spacing w:after="70" w:before="200"/>
    </w:pPr>
    <w:rPr>
      <w:rFonts w:ascii="Calibri" w:cs="Calibri" w:eastAsia="Calibri" w:hAnsi="Calibri"/>
      <w:b/>
      <w:bCs/>
      <w:color w:val="4A5568"/>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Meta">
    <w:name w:val="Meta"/>
    <w:basedOn w:val="Normal"/>
    <w:qFormat/>
    <w:pPr>
      <w:spacing w:after="60"/>
    </w:pPr>
    <w:rPr>
      <w:color w:val="4A5568"/>
      <w:sz w:val="18"/>
      <w:szCs w:val="18"/>
    </w:rPr>
  </w:style>
  <w:style w:type="paragraph" w:styleId="Lead">
    <w:name w:val="Lead"/>
    <w:basedOn w:val="Normal"/>
    <w:qFormat/>
    <w:pPr>
      <w:spacing w:after="200"/>
    </w:pPr>
    <w:rPr>
      <w:color w:val="1F3A5F"/>
      <w:sz w:val="23"/>
      <w:szCs w:val="23"/>
    </w:rPr>
  </w:style>
  <w:style w:type="paragraph" w:styleId="Note">
    <w:name w:val="Note"/>
    <w:basedOn w:val="Normal"/>
    <w:qFormat/>
    <w:pPr>
      <w:spacing w:after="200" w:before="60"/>
    </w:pPr>
    <w:rPr>
      <w:i/>
      <w:iCs/>
      <w:color w:val="4A5568"/>
      <w:sz w:val="19"/>
      <w:szCs w:val="19"/>
    </w:rPr>
  </w:style>
  <w:style w:type="paragraph" w:styleId="Formula">
    <w:name w:val="Formula"/>
    <w:basedOn w:val="Normal"/>
    <w:qFormat/>
    <w:pPr>
      <w:spacing w:after="140" w:before="120"/>
      <w:ind w:left="360"/>
    </w:pPr>
    <w:rPr>
      <w:rFonts w:ascii="Consolas" w:cs="Consolas" w:eastAsia="Consolas" w:hAnsi="Consolas"/>
      <w:color w:val="1F3A5F"/>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2026-09-07T08:28:34.842Z</dcterms:created>
  <dcterms:modified xsi:type="dcterms:W3CDTF">2026-09-07T08:28:34.842Z</dcterms:modified>
</cp:coreProperties>
</file>

<file path=docProps/custom.xml><?xml version="1.0" encoding="utf-8"?>
<Properties xmlns="http://schemas.openxmlformats.org/officeDocument/2006/custom-properties" xmlns:vt="http://schemas.openxmlformats.org/officeDocument/2006/docPropsVTypes"/>
</file>