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90"/>
      </w:pPr>
      <w:r>
        <w:rPr>
          <w:b/>
          <w:bCs/>
          <w:color w:val="A9610A"/>
          <w:spacing w:val="40"/>
          <w:sz w:val="16"/>
          <w:szCs w:val="16"/>
        </w:rPr>
        <w:t xml:space="preserve">MODEL CLAUSE · FOR ADAPTATION BY COUNSEL</w:t>
      </w:r>
    </w:p>
    <w:p>
      <w:pPr>
        <w:spacing w:after="60" w:before="0"/>
      </w:pPr>
      <w:r>
        <w:rPr>
          <w:rFonts w:ascii="Calibri" w:cs="Calibri" w:eastAsia="Calibri" w:hAnsi="Calibri"/>
          <w:b/>
          <w:bCs/>
          <w:color w:val="1F3A5F"/>
          <w:sz w:val="36"/>
          <w:szCs w:val="36"/>
        </w:rPr>
        <w:t xml:space="preserve">MC-6 — Financial Assurance for Data-Centre Development</w:t>
      </w:r>
    </w:p>
    <w:p>
      <w:pPr>
        <w:pBdr>
          <w:bottom w:val="single" w:color="1F3A5F" w:sz="8" w:space="8"/>
        </w:pBdr>
        <w:spacing w:after="200"/>
      </w:pPr>
      <w:r>
        <w:rPr>
          <w:color w:val="4A5568"/>
          <w:sz w:val="22"/>
          <w:szCs w:val="22"/>
        </w:rPr>
        <w:t xml:space="preserve">Model clause with drafting notes · keyed to DICA Standard Part A, v0.6.0 · 7 September 2026</w:t>
      </w:r>
    </w:p>
    <w:p>
      <w:pPr>
        <w:pStyle w:val="Lead"/>
      </w:pPr>
      <w:r>
        <w:t xml:space="preserve">MC-6 sizes and secures the obligations a jurisdiction is left holding if a data-center development is not completed, not operated as approved, or not closed out. It does not decide whether a project should be approved, and it is not an underwriting instrument.</w:t>
      </w:r>
    </w:p>
    <w:p>
      <w:pPr>
        <w:pStyle w:val="Heading2"/>
      </w:pPr>
      <w:r>
        <w:t xml:space="preserve">How to use this document</w:t>
      </w:r>
    </w:p>
    <w:p>
      <w:pPr>
        <w:pStyle w:val="ListParagraph"/>
        <w:numPr>
          <w:ilvl w:val="0"/>
          <w:numId w:val="2"/>
        </w:numPr>
      </w:pPr>
      <w:r>
        <w:t xml:space="preserve">Bracketed terms — [County], [Agreement], [Assessor] — are placeholders for local usage.</w:t>
      </w:r>
    </w:p>
    <w:p>
      <w:pPr>
        <w:pStyle w:val="ListParagraph"/>
        <w:numPr>
          <w:ilvl w:val="0"/>
          <w:numId w:val="2"/>
        </w:numPr>
      </w:pPr>
      <w:r>
        <w:t xml:space="preserve">The clause is drafted to sit inside an existing development agreement, conditional-zoning condition set, or zoning ordinance. It does not require a new ordinance and it does not require adoption of the standard as local law.</w:t>
      </w:r>
    </w:p>
    <w:p>
      <w:pPr>
        <w:pStyle w:val="ListParagraph"/>
        <w:numPr>
          <w:ilvl w:val="0"/>
          <w:numId w:val="2"/>
        </w:numPr>
      </w:pPr>
      <w:r>
        <w:t xml:space="preserve">Notes in amber are drafting commentary and are not part of the clause. Delete them before use.</w:t>
      </w:r>
    </w:p>
    <w:p>
      <w:pPr>
        <w:pStyle w:val="ListParagraph"/>
        <w:numPr>
          <w:ilvl w:val="0"/>
          <w:numId w:val="2"/>
        </w:numPr>
      </w:pPr>
      <w:r>
        <w:t xml:space="preserve">Notes in red flag a point that turns on local enabling authority and must be confirmed by counsel before the clause is used in that jurisdiction.</w:t>
      </w:r>
    </w:p>
    <w:p>
      <w:pPr>
        <w:pBdr>
          <w:bottom w:val="single" w:color="C9D2DD" w:sz="6" w:space="1"/>
        </w:pBdr>
        <w:spacing w:after="160" w:before="60"/>
      </w:pPr>
    </w:p>
    <w:p>
      <w:pPr>
        <w:pStyle w:val="Heading1"/>
      </w:pPr>
      <w:r>
        <w:t xml:space="preserve">The clause</w:t>
      </w:r>
    </w:p>
    <w:p>
      <w:pPr>
        <w:pStyle w:val="Heading2"/>
      </w:pPr>
      <w:r>
        <w:t xml:space="preserve">MC-6.1  Definitions</w:t>
      </w:r>
    </w:p>
    <w:p>
      <w:pPr>
        <w:spacing w:after="150"/>
        <w:ind w:left="720" w:hanging="360"/>
      </w:pPr>
      <w:r>
        <w:rPr>
          <w:b/>
          <w:bCs/>
          <w:color w:val="1F3A5F"/>
        </w:rPr>
        <w:t xml:space="preserve">(a)	</w:t>
      </w:r>
      <w:r>
        <w:t xml:space="preserve">“Standard” means the DICA Standard, Part A, version 0.6.0, as published at the date of this [Agreement]. </w:t>
      </w:r>
      <w:r>
        <w:rPr>
          <w:b/>
          <w:bCs/>
        </w:rPr>
        <w:t xml:space="preserve">A later version does not apply to this [Agreement] unless the parties agree in writing.</w:t>
      </w:r>
    </w:p>
    <w:p>
      <w:pPr>
        <w:spacing w:after="150"/>
        <w:ind w:left="720" w:hanging="360"/>
      </w:pPr>
      <w:r>
        <w:rPr>
          <w:b/>
          <w:bCs/>
          <w:color w:val="1F3A5F"/>
        </w:rPr>
        <w:t xml:space="preserve">(b)	</w:t>
      </w:r>
      <w:r>
        <w:t xml:space="preserve">“Determination” means a computation of the Required Financial Assurance prepared in accordance with the Standard, stating the parameter set and engine build under which it was computed.</w:t>
      </w:r>
    </w:p>
    <w:p>
      <w:pPr>
        <w:spacing w:after="150"/>
        <w:ind w:left="720" w:hanging="360"/>
      </w:pPr>
      <w:r>
        <w:rPr>
          <w:b/>
          <w:bCs/>
          <w:color w:val="1F3A5F"/>
        </w:rPr>
        <w:t xml:space="preserve">(c)	</w:t>
      </w:r>
      <w:r>
        <w:t xml:space="preserve">“Assessor” means the person appointed under MC-6.2(b).</w:t>
      </w:r>
    </w:p>
    <w:p>
      <w:pPr>
        <w:spacing w:after="150"/>
        <w:ind w:left="720" w:hanging="360"/>
      </w:pPr>
      <w:r>
        <w:rPr>
          <w:b/>
          <w:bCs/>
          <w:color w:val="1F3A5F"/>
        </w:rPr>
        <w:t xml:space="preserve">(d)	</w:t>
      </w:r>
      <w:r>
        <w:t xml:space="preserve">“Class A Obligation” means an obligation to perform — to construct, restore, decommission or close out. “Class B Obligation” means an obligation to pay a sum, including recapture, clawback, indemnity and liquidated amounts.</w:t>
      </w:r>
    </w:p>
    <w:p>
      <w:pPr>
        <w:pStyle w:val="Note"/>
        <w:pBdr>
          <w:left w:val="single" w:color="A9610A" w:sz="10" w:space="10"/>
        </w:pBdr>
        <w:spacing w:after="220" w:before="120"/>
        <w:ind w:left="360"/>
      </w:pPr>
      <w:r>
        <w:rPr>
          <w:b/>
          <w:bCs/>
          <w:i/>
          <w:iCs/>
          <w:color w:val="A9610A"/>
        </w:rPr>
        <w:t xml:space="preserve">On version pinning.  </w:t>
      </w:r>
      <w:r>
        <w:rPr>
          <w:i/>
          <w:iCs/>
          <w:color w:val="4A5568"/>
        </w:rPr>
        <w:t xml:space="preserve">(a) is the provision that makes the clause acceptable to an applicant. A standard that can be revised by its publisher after execution, and thereby increase an obligation already agreed, is one no competent counsel will sign. Pinning the version is what converts an external standard into ordinary contract terms.</w:t>
      </w:r>
    </w:p>
    <w:p>
      <w:pPr>
        <w:pStyle w:val="Heading2"/>
      </w:pPr>
      <w:r>
        <w:t xml:space="preserve">MC-6.2  Determination and review</w:t>
      </w:r>
    </w:p>
    <w:p>
      <w:pPr>
        <w:spacing w:after="150"/>
        <w:ind w:left="720" w:hanging="360"/>
      </w:pPr>
      <w:r>
        <w:rPr>
          <w:b/>
          <w:bCs/>
          <w:color w:val="1F3A5F"/>
        </w:rPr>
        <w:t xml:space="preserve">(a)	</w:t>
      </w:r>
      <w:r>
        <w:t xml:space="preserve">The Required Financial Assurance shall be determined in accordance with the Standard as at the Determination Date, and the Determination shall state on its face the parameter set and engine build under which it was computed.</w:t>
      </w:r>
    </w:p>
    <w:p>
      <w:pPr>
        <w:spacing w:after="150"/>
        <w:ind w:left="720" w:hanging="360"/>
      </w:pPr>
      <w:r>
        <w:rPr>
          <w:b/>
          <w:bCs/>
          <w:color w:val="1F3A5F"/>
        </w:rPr>
        <w:t xml:space="preserve">(b)	</w:t>
      </w:r>
      <w:r>
        <w:t xml:space="preserve">The Determination shall be prepared by an Assessor selected and instructed by the [County] and funded by the Applicant through the review account established under [§___]. The [County] shall not be liable for the Assessor’s fees.</w:t>
      </w:r>
    </w:p>
    <w:p>
      <w:pPr>
        <w:spacing w:after="150"/>
        <w:ind w:left="720" w:hanging="360"/>
      </w:pPr>
      <w:r>
        <w:rPr>
          <w:b/>
          <w:bCs/>
          <w:color w:val="1F3A5F"/>
        </w:rPr>
        <w:t xml:space="preserve">(c)	</w:t>
      </w:r>
      <w:r>
        <w:t xml:space="preserve">Each input to the Determination shall be bound to the document from which it is drawn, identified by cryptographic digest and by the located passage relied upon. An input citing no such document shall not be assigned an evidence class above E5.</w:t>
      </w:r>
    </w:p>
    <w:p>
      <w:pPr>
        <w:spacing w:after="150"/>
        <w:ind w:left="720" w:hanging="360"/>
      </w:pPr>
      <w:r>
        <w:rPr>
          <w:b/>
          <w:bCs/>
          <w:color w:val="1F3A5F"/>
        </w:rPr>
        <w:t xml:space="preserve">(d)	</w:t>
      </w:r>
      <w:r>
        <w:t xml:space="preserve">The Determination shall be delivered to the Applicant and to the [County] and shall be a public record.</w:t>
      </w:r>
    </w:p>
    <w:p>
      <w:pPr>
        <w:pStyle w:val="Note"/>
        <w:pBdr>
          <w:left w:val="single" w:color="A9610A" w:sz="10" w:space="10"/>
        </w:pBdr>
        <w:spacing w:after="220" w:before="120"/>
        <w:ind w:left="360"/>
      </w:pPr>
      <w:r>
        <w:rPr>
          <w:b/>
          <w:bCs/>
          <w:i/>
          <w:iCs/>
          <w:color w:val="A9610A"/>
        </w:rPr>
        <w:t xml:space="preserve">On the funding mechanism.  </w:t>
      </w:r>
      <w:r>
        <w:rPr>
          <w:i/>
          <w:iCs/>
          <w:color w:val="4A5568"/>
        </w:rPr>
        <w:t xml:space="preserve">Applicant-funded, jurisdiction-directed review is the same arrangement most counties already use for third-party plan review, traffic study review and environmental consultants. Using the existing account and the existing appointment practice avoids both a new budget line and, in most jurisdictions, a procurement.</w:t>
      </w:r>
    </w:p>
    <w:p>
      <w:pPr>
        <w:pStyle w:val="Heading2"/>
      </w:pPr>
      <w:r>
        <w:t xml:space="preserve">MC-6.3  Classification and eligible instruments</w:t>
      </w:r>
    </w:p>
    <w:p>
      <w:pPr>
        <w:spacing w:after="150"/>
        <w:ind w:left="720" w:hanging="360"/>
      </w:pPr>
      <w:r>
        <w:rPr>
          <w:b/>
          <w:bCs/>
          <w:color w:val="1F3A5F"/>
        </w:rPr>
        <w:t xml:space="preserve">(a)	</w:t>
      </w:r>
      <w:r>
        <w:t xml:space="preserve">The Determination shall state, for each component of the Required Financial Assurance, whether it secures a Class A Obligation or a Class B Obligation.</w:t>
      </w:r>
    </w:p>
    <w:p>
      <w:pPr>
        <w:spacing w:after="150"/>
        <w:ind w:left="720" w:hanging="360"/>
      </w:pPr>
      <w:r>
        <w:rPr>
          <w:b/>
          <w:bCs/>
          <w:color w:val="1F3A5F"/>
        </w:rPr>
        <w:t xml:space="preserve">(b)	</w:t>
      </w:r>
      <w:r>
        <w:t xml:space="preserve">A Class A Obligation may be secured by a closure-form or performance-form surety bond, a trust, or a letter of credit.</w:t>
      </w:r>
    </w:p>
    <w:p>
      <w:pPr>
        <w:spacing w:after="150"/>
        <w:ind w:left="720" w:hanging="360"/>
      </w:pPr>
      <w:r>
        <w:rPr>
          <w:b/>
          <w:bCs/>
          <w:color w:val="1F3A5F"/>
        </w:rPr>
        <w:t xml:space="preserve">(c)	</w:t>
      </w:r>
      <w:r>
        <w:t xml:space="preserve">A Class B Obligation </w:t>
      </w:r>
      <w:r>
        <w:rPr>
          <w:b/>
          <w:bCs/>
        </w:rPr>
        <w:t xml:space="preserve">shall not</w:t>
      </w:r>
      <w:r>
        <w:t xml:space="preserve"> be secured by a surety bond, and may be secured only by a trust, cash, a letter of credit, or a guarantee of a person meeting the rating requirement in [§___].</w:t>
      </w:r>
    </w:p>
    <w:p>
      <w:pPr>
        <w:spacing w:after="150"/>
        <w:ind w:left="720" w:hanging="360"/>
      </w:pPr>
      <w:r>
        <w:rPr>
          <w:b/>
          <w:bCs/>
          <w:color w:val="1F3A5F"/>
        </w:rPr>
        <w:t xml:space="preserve">(d)	</w:t>
      </w:r>
      <w:r>
        <w:t xml:space="preserve">Where a single surety, issuer or guarantor stands behind more than one component, the Determination shall disclose that concentration on its face.</w:t>
      </w:r>
    </w:p>
    <w:p>
      <w:pPr>
        <w:pStyle w:val="Note"/>
        <w:pBdr>
          <w:left w:val="single" w:color="A9610A" w:sz="10" w:space="10"/>
        </w:pBdr>
        <w:spacing w:after="220" w:before="120"/>
        <w:ind w:left="360"/>
      </w:pPr>
      <w:r>
        <w:rPr>
          <w:b/>
          <w:bCs/>
          <w:i/>
          <w:iCs/>
          <w:color w:val="A9610A"/>
        </w:rPr>
        <w:t xml:space="preserve">Why (c) protects the applicant as much as the jurisdiction.  </w:t>
      </w:r>
      <w:r>
        <w:rPr>
          <w:i/>
          <w:iCs/>
          <w:color w:val="4A5568"/>
        </w:rPr>
        <w:t xml:space="preserve">A monetary clawback secured by a performance bond is not coverage. The form does not respond, the claim is denied, and the jurisdiction then pursues the principal directly — which is a worse outcome for the applicant than having been told at the outset which instrument was required. Expect this paragraph to cost the applicant liquidity and to be argued. It is still the right provision.</w:t>
      </w:r>
    </w:p>
    <w:p>
      <w:pPr>
        <w:pStyle w:val="Heading2"/>
      </w:pPr>
      <w:r>
        <w:t xml:space="preserve">MC-6.4  Improved evidence and redetermination</w:t>
      </w:r>
    </w:p>
    <w:p>
      <w:pPr>
        <w:spacing w:after="150"/>
        <w:ind w:left="720" w:hanging="360"/>
      </w:pPr>
      <w:r>
        <w:rPr>
          <w:b/>
          <w:bCs/>
          <w:color w:val="1F3A5F"/>
        </w:rPr>
        <w:t xml:space="preserve">(a)	</w:t>
      </w:r>
      <w:r>
        <w:t xml:space="preserve">The Applicant may at any time submit improved evidence in respect of any input, including an independent review of a document previously relied upon.</w:t>
      </w:r>
    </w:p>
    <w:p>
      <w:pPr>
        <w:spacing w:after="150"/>
        <w:ind w:left="720" w:hanging="360"/>
      </w:pPr>
      <w:r>
        <w:rPr>
          <w:b/>
          <w:bCs/>
          <w:color w:val="1F3A5F"/>
        </w:rPr>
        <w:t xml:space="preserve">(b)	</w:t>
      </w:r>
      <w:r>
        <w:t xml:space="preserve">Where improved evidence changes the Determination, the Required Financial Assurance shall be redetermined and any excess released within sixty (60) days.</w:t>
      </w:r>
    </w:p>
    <w:p>
      <w:pPr>
        <w:spacing w:after="150"/>
        <w:ind w:left="720" w:hanging="360"/>
      </w:pPr>
      <w:r>
        <w:rPr>
          <w:b/>
          <w:bCs/>
          <w:color w:val="1F3A5F"/>
        </w:rPr>
        <w:t xml:space="preserve">(c)	</w:t>
      </w:r>
      <w:r>
        <w:t xml:space="preserve">The [County] may require redetermination not more often than annually, and on any material change in the approved development.</w:t>
      </w:r>
    </w:p>
    <w:p>
      <w:pPr>
        <w:pStyle w:val="Note"/>
        <w:pBdr>
          <w:left w:val="single" w:color="A9610A" w:sz="10" w:space="10"/>
        </w:pBdr>
        <w:spacing w:after="220" w:before="120"/>
        <w:ind w:left="360"/>
      </w:pPr>
      <w:r>
        <w:rPr>
          <w:b/>
          <w:bCs/>
          <w:i/>
          <w:iCs/>
          <w:color w:val="A9610A"/>
        </w:rPr>
        <w:t xml:space="preserve">This is the applicant’s clause.  </w:t>
      </w:r>
      <w:r>
        <w:rPr>
          <w:i/>
          <w:iCs/>
          <w:color w:val="4A5568"/>
        </w:rPr>
        <w:t xml:space="preserve">MC-6.4 is the only mechanism in an ordinary development agreement by which a security requirement falls without the jurisdiction publicly agreeing to accept less. It is worth saying so during negotiation: an applicant who commissions independent review of its own closure estimate converts an attested figure into reviewed evidence and reduces the requirement by a computable amount.</w:t>
      </w:r>
    </w:p>
    <w:p>
      <w:pPr>
        <w:pStyle w:val="Heading2"/>
      </w:pPr>
      <w:r>
        <w:t xml:space="preserve">MC-6.5  Release and step-down</w:t>
      </w:r>
    </w:p>
    <w:p>
      <w:pPr>
        <w:spacing w:after="150"/>
        <w:ind w:left="720" w:hanging="360"/>
      </w:pPr>
      <w:r>
        <w:rPr>
          <w:b/>
          <w:bCs/>
          <w:color w:val="1F3A5F"/>
        </w:rPr>
        <w:t xml:space="preserve">(a)	</w:t>
      </w:r>
      <w:r>
        <w:t xml:space="preserve">The Required Financial Assurance shall step down as the conditions in Schedule [__] are satisfied, and not by reference to elapsed time alone.</w:t>
      </w:r>
    </w:p>
    <w:p>
      <w:pPr>
        <w:spacing w:after="150"/>
        <w:ind w:left="720" w:hanging="360"/>
      </w:pPr>
      <w:r>
        <w:rPr>
          <w:b/>
          <w:bCs/>
          <w:color w:val="1F3A5F"/>
        </w:rPr>
        <w:t xml:space="preserve">(b)	</w:t>
      </w:r>
      <w:r>
        <w:t xml:space="preserve">No instrument shall expire, lapse or be permitted to terminate while any obligation it secures remains outstanding, and each instrument shall provide for notice to the [County] not less than [60] days before any non-renewal.</w:t>
      </w:r>
    </w:p>
    <w:p>
      <w:pPr>
        <w:pStyle w:val="Note"/>
        <w:pBdr>
          <w:left w:val="single" w:color="A9610A" w:sz="10" w:space="10"/>
        </w:pBdr>
        <w:spacing w:after="220" w:before="120"/>
        <w:ind w:left="360"/>
      </w:pPr>
      <w:r>
        <w:rPr>
          <w:b/>
          <w:bCs/>
          <w:i/>
          <w:iCs/>
          <w:color w:val="A9610A"/>
        </w:rPr>
        <w:t xml:space="preserve">On (b).  </w:t>
      </w:r>
      <w:r>
        <w:rPr>
          <w:i/>
          <w:iCs/>
          <w:color w:val="4A5568"/>
        </w:rPr>
        <w:t xml:space="preserve">Instruments that expire on a calendar while the obligation they secure matures on a different one are the most common defect in existing agreements, and the one a finance director will recognise immediately. Sixty days is a drafting convention; ninety is safer where the [County] must go to a board to act on the notice.</w:t>
      </w:r>
    </w:p>
    <w:p>
      <w:pPr>
        <w:pStyle w:val="Heading2"/>
      </w:pPr>
      <w:r>
        <w:t xml:space="preserve">MC-6.6  Re-verification</w:t>
      </w:r>
    </w:p>
    <w:p>
      <w:pPr>
        <w:spacing w:after="150"/>
        <w:ind w:left="720" w:hanging="360"/>
      </w:pPr>
      <w:r>
        <w:rPr>
          <w:b/>
          <w:bCs/>
          <w:color w:val="1F3A5F"/>
        </w:rPr>
        <w:t xml:space="preserve">(a)	</w:t>
      </w:r>
      <w:r>
        <w:t xml:space="preserve">Where a document bound under MC-6.2(c) is amended, withdrawn, or fails digest comparison at any subsequent verification, every input bound to it shall be treated as unverified and the Determination shall be marked stale.</w:t>
      </w:r>
    </w:p>
    <w:p>
      <w:pPr>
        <w:spacing w:after="150"/>
        <w:ind w:left="720" w:hanging="360"/>
      </w:pPr>
      <w:r>
        <w:rPr>
          <w:b/>
          <w:bCs/>
          <w:color w:val="1F3A5F"/>
        </w:rPr>
        <w:t xml:space="preserve">(b)	</w:t>
      </w:r>
      <w:r>
        <w:t xml:space="preserve">A stale Determination shall be recomputed within thirty (30) days, and the Required Financial Assurance adjusted accordingly.</w:t>
      </w:r>
    </w:p>
    <w:p>
      <w:pPr>
        <w:pStyle w:val="Heading2"/>
      </w:pPr>
      <w:r>
        <w:t xml:space="preserve">MC-6.7  Assessor independence</w:t>
      </w:r>
    </w:p>
    <w:p>
      <w:pPr>
        <w:spacing w:after="150"/>
        <w:ind w:left="720" w:hanging="360"/>
      </w:pPr>
      <w:r>
        <w:rPr>
          <w:b/>
          <w:bCs/>
          <w:color w:val="1F3A5F"/>
        </w:rPr>
        <w:t xml:space="preserve">(a)	</w:t>
      </w:r>
      <w:r>
        <w:t xml:space="preserve">The Assessor owes its professional duty to the [County] notwithstanding that its fee is funded by the Applicant, and shall be selected, instructed and, if necessary, removed by the [County] alone.</w:t>
      </w:r>
    </w:p>
    <w:p>
      <w:pPr>
        <w:spacing w:after="150"/>
        <w:ind w:left="720" w:hanging="360"/>
      </w:pPr>
      <w:r>
        <w:rPr>
          <w:b/>
          <w:bCs/>
          <w:color w:val="1F3A5F"/>
        </w:rPr>
        <w:t xml:space="preserve">(b)	</w:t>
      </w:r>
      <w:r>
        <w:t xml:space="preserve">No fee payable to the Assessor, or to any person participating in the preparation or review of a Determination, shall be indexed to, contingent upon, or otherwise calculated by reference to </w:t>
      </w:r>
      <w:r>
        <w:rPr>
          <w:b/>
          <w:bCs/>
        </w:rPr>
        <w:t xml:space="preserve">the amount of assurance determined</w:t>
      </w:r>
      <w:r>
        <w:t xml:space="preserve">.</w:t>
      </w:r>
    </w:p>
    <w:p>
      <w:pPr>
        <w:spacing w:after="150"/>
        <w:ind w:left="720" w:hanging="360"/>
      </w:pPr>
      <w:r>
        <w:rPr>
          <w:b/>
          <w:bCs/>
          <w:color w:val="1F3A5F"/>
        </w:rPr>
        <w:t xml:space="preserve">(c)	</w:t>
      </w:r>
      <w:r>
        <w:t xml:space="preserve">No person participating in the preparation or review of a Determination shall receive compensation, directly or indirectly, from the placement, brokerage or underwriting of any instrument offered to satisfy the Required Financial Assurance.</w:t>
      </w:r>
    </w:p>
    <w:p>
      <w:pPr>
        <w:pStyle w:val="Note"/>
        <w:pBdr>
          <w:left w:val="single" w:color="A9610A" w:sz="10" w:space="10"/>
        </w:pBdr>
        <w:spacing w:after="220" w:before="120"/>
        <w:ind w:left="360"/>
      </w:pPr>
      <w:r>
        <w:rPr>
          <w:b/>
          <w:bCs/>
          <w:i/>
          <w:iCs/>
          <w:color w:val="A9610A"/>
        </w:rPr>
        <w:t xml:space="preserve">Why this is in the clause and not in a policy.  </w:t>
      </w:r>
      <w:r>
        <w:rPr>
          <w:i/>
          <w:iCs/>
          <w:color w:val="4A5568"/>
        </w:rPr>
        <w:t xml:space="preserve">Paragraphs (b) and (c) are the provisions an applicant’s counsel will test first, and they are the reason a determination survives the accusation that the person who set the number profits from its size. They belong in the executed instrument, where they bind, rather than in a code of conduct, where they do not.</w:t>
      </w:r>
    </w:p>
    <w:p>
      <w:pPr>
        <w:pStyle w:val="Heading2"/>
      </w:pPr>
      <w:r>
        <w:t xml:space="preserve">MC-6.8  Survival and successors</w:t>
      </w:r>
    </w:p>
    <w:p>
      <w:pPr>
        <w:spacing w:after="150"/>
        <w:ind w:left="720" w:hanging="360"/>
      </w:pPr>
      <w:r>
        <w:rPr>
          <w:b/>
          <w:bCs/>
          <w:color w:val="1F3A5F"/>
        </w:rPr>
        <w:t xml:space="preserve">(a)	</w:t>
      </w:r>
      <w:r>
        <w:t xml:space="preserve">This clause binds the Applicant’s successors and assigns, and no assignment of the [Agreement] shall be effective until the assignee has provided instruments satisfying the then-current Required Financial Assurance.</w:t>
      </w:r>
    </w:p>
    <w:p>
      <w:pPr>
        <w:spacing w:after="150"/>
        <w:ind w:left="720" w:hanging="360"/>
      </w:pPr>
      <w:r>
        <w:rPr>
          <w:b/>
          <w:bCs/>
          <w:color w:val="1F3A5F"/>
        </w:rPr>
        <w:t xml:space="preserve">(b)	</w:t>
      </w:r>
      <w:r>
        <w:t xml:space="preserve">The obligations in MC-6.5 and MC-6.6 survive termination or expiry of the [Agreement] until released in accordance with Schedule [__].</w:t>
      </w:r>
    </w:p>
    <w:p>
      <w:pPr>
        <w:pStyle w:val="Note"/>
        <w:pBdr>
          <w:left w:val="single" w:color="A9610A" w:sz="10" w:space="10"/>
        </w:pBdr>
        <w:spacing w:after="220" w:before="120"/>
        <w:ind w:left="360"/>
      </w:pPr>
      <w:r>
        <w:rPr>
          <w:b/>
          <w:bCs/>
          <w:i/>
          <w:iCs/>
          <w:color w:val="A9610A"/>
        </w:rPr>
        <w:t xml:space="preserve">On (a).  </w:t>
      </w:r>
      <w:r>
        <w:rPr>
          <w:i/>
          <w:iCs/>
          <w:color w:val="4A5568"/>
        </w:rPr>
        <w:t xml:space="preserve">The contracting entity on a project of this kind is commonly a special-purpose vehicle whose parent is not an obligor. Without (a), the security travels with the agreement while the covenant to maintain it does not.</w:t>
      </w:r>
    </w:p>
    <w:p>
      <w:pPr>
        <w:pBdr>
          <w:bottom w:val="single" w:color="C9D2DD" w:sz="6" w:space="1"/>
        </w:pBdr>
        <w:spacing w:after="160" w:before="60"/>
      </w:pPr>
    </w:p>
    <w:p>
      <w:pPr>
        <w:pStyle w:val="Heading1"/>
      </w:pPr>
      <w:r>
        <w:t xml:space="preserve">Two questions counsel will be asked</w:t>
      </w:r>
    </w:p>
    <w:p>
      <w:pPr>
        <w:pStyle w:val="Heading3"/>
      </w:pPr>
      <w:r>
        <w:t xml:space="preserve">“Why not simply set a fixed multiple of estimated cost?”</w:t>
      </w:r>
    </w:p>
    <w:p>
      <w:r>
        <w:t xml:space="preserve">Because the estimate is the contested quantity. A fixed multiple of a well-known cost — the sort used for subdivision improvements, where the price of a sidewalk is not in serious dispute — works precisely because the underlying figure is reliable. A closure estimate for a facility of this kind is commonly self-attested, unreviewed, and prepared by the party that benefits from it being low. Applying a flat multiplier to that figure multiplies the uncertainty along with the cost. MC-6 instead prices the uncertainty separately, which is what allows it to fall when the uncertainty is removed.</w:t>
      </w:r>
    </w:p>
    <w:p>
      <w:pPr>
        <w:pStyle w:val="Heading3"/>
      </w:pPr>
      <w:r>
        <w:t xml:space="preserve">“Is this an exaction?”</w:t>
      </w:r>
    </w:p>
    <w:p>
      <w:r>
        <w:t xml:space="preserve">The Determination attaches only to costs attributed to the development and not already covered by an instrument standing ahead of the jurisdiction. Attribution and existing protection are both computed and both disclosed. That does not answer the constitutional question, which turns on local law and on the record the jurisdiction builds — but it does mean the objection resolves to a stated input that can be argued on evidence, rather than to the existence of the requirement.</w:t>
      </w:r>
    </w:p>
    <w:p>
      <w:pPr>
        <w:pStyle w:val="Note"/>
        <w:pBdr>
          <w:left w:val="single" w:color="9B2226" w:sz="10" w:space="10"/>
        </w:pBdr>
        <w:spacing w:after="220" w:before="120"/>
        <w:ind w:left="360"/>
      </w:pPr>
      <w:r>
        <w:rPr>
          <w:b/>
          <w:bCs/>
          <w:i/>
          <w:iCs/>
          <w:color w:val="9B2226"/>
        </w:rPr>
        <w:t xml:space="preserve">Counsel to confirm.  </w:t>
      </w:r>
      <w:r>
        <w:rPr>
          <w:i/>
          <w:iCs/>
          <w:color w:val="4A5568"/>
        </w:rPr>
        <w:t xml:space="preserve">Nexus and proportionality requirements vary by state and, in some, by whether the obligation arises in a legislative rezoning or an administrative permit. Confirm the local test and satisfy it on the record.</w:t>
      </w:r>
    </w:p>
    <w:p>
      <w:pPr>
        <w:pBdr>
          <w:bottom w:val="single" w:color="C9D2DD" w:sz="6" w:space="1"/>
        </w:pBdr>
        <w:spacing w:after="160" w:before="60"/>
      </w:pPr>
    </w:p>
    <w:p>
      <w:pPr>
        <w:pStyle w:val="Meta"/>
      </w:pPr>
      <w:r>
        <w:t xml:space="preserve">DICA Standard Part A and the limitations register are published and versioned. Part B (calibration) is issued separately under change control and is not reproduced in this document. This document is drafting material prepared for the assistance of counsel. It is not legal advice, it creates no attorney-client relationship, and it must be adapted to local enabling authority, procurement rules and the instruments the jurisdiction’s treasurer will accept.</w:t>
      </w:r>
    </w:p>
    <w:sectPr>
      <w:headerReference w:type="default" r:id="rId7"/>
      <w:footerReference w:type="default" r:id="rId8"/>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D" w:sz="4" w:space="6"/>
      </w:pBdr>
      <w:spacing w:before="0"/>
    </w:pPr>
    <w:r>
      <w:rPr>
        <w:color w:val="4A5568"/>
        <w:sz w:val="15"/>
        <w:szCs w:val="15"/>
      </w:rPr>
      <w:t xml:space="preserve">Drafting material, not legal advice. Adapt to local enabling authority before use.  </w:t>
    </w:r>
    <w:r>
      <w:rPr>
        <w:color w:val="4A5568"/>
        <w:sz w:val="15"/>
        <w:szCs w:val="15"/>
      </w:rPr>
      <w:t xml:space="preserve">Page </w:t>
    </w:r>
    <w:r>
      <w:rPr>
        <w:color w:val="4A5568"/>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2DD" w:sz="4" w:space="6"/>
      </w:pBdr>
      <w:spacing w:after="0"/>
      <w:jc w:val="left"/>
    </w:pPr>
    <w:r>
      <w:rPr>
        <w:b/>
        <w:bCs/>
        <w:color w:val="1F3A5F"/>
        <w:sz w:val="15"/>
        <w:szCs w:val="15"/>
      </w:rPr>
      <w:t xml:space="preserve">DICA  </w:t>
    </w:r>
    <w:r>
      <w:rPr>
        <w:color w:val="4A5568"/>
        <w:spacing w:val="20"/>
        <w:sz w:val="15"/>
        <w:szCs w:val="15"/>
      </w:rPr>
      <w:t xml:space="preserve">MODEL ASSURANCE CLAUSE MC-6</w:t>
    </w:r>
    <w:r>
      <w:rPr>
        <w:color w:val="4A5568"/>
        <w:sz w:val="15"/>
        <w:szCs w:val="15"/>
      </w:rPr>
      <w:t xml:space="preserve">		Base model · v0.6.0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lvl w:ilvl="1" w15:tentative="1">
      <w:start w:val="1"/>
      <w:numFmt w:val="bullet"/>
      <w:lvlText w:val="–"/>
      <w:lvlJc w:val="left"/>
      <w:pPr>
        <w:ind w:left="835" w:hanging="259"/>
      </w:pPr>
    </w:lvl>
  </w:abstractNum>
  <w:abstractNum w:abstractNumId="3" w15:restartNumberingAfterBreak="0">
    <w:multiLevelType w:val="hybridMultilevel"/>
    <w:lvl w:ilvl="0" w15:tentative="1">
      <w:start w:val="1"/>
      <w:numFmt w:val="decimal"/>
      <w:lvlText w:val="%1."/>
      <w:lvlJc w:val="left"/>
      <w:pPr>
        <w:ind w:left="460" w:hanging="316"/>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pPr>
        <w:spacing w:after="13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50" w:before="380"/>
    </w:pPr>
    <w:rPr>
      <w:rFonts w:ascii="Calibri" w:cs="Calibri" w:eastAsia="Calibri" w:hAnsi="Calibri"/>
      <w:b/>
      <w:bCs/>
      <w:color w:val="1F3A5F"/>
      <w:sz w:val="30"/>
      <w:szCs w:val="30"/>
    </w:rPr>
  </w:style>
  <w:style w:type="paragraph" w:styleId="Heading2">
    <w:name w:val="Heading 2"/>
    <w:basedOn w:val="Normal"/>
    <w:next w:val="Normal"/>
    <w:qFormat/>
    <w:pPr>
      <w:spacing w:after="100" w:before="260"/>
    </w:pPr>
    <w:rPr>
      <w:rFonts w:ascii="Calibri" w:cs="Calibri" w:eastAsia="Calibri" w:hAnsi="Calibri"/>
      <w:b/>
      <w:bCs/>
      <w:color w:val="1F3A5F"/>
      <w:sz w:val="23"/>
      <w:szCs w:val="23"/>
    </w:rPr>
  </w:style>
  <w:style w:type="paragraph" w:styleId="Heading3">
    <w:name w:val="Heading 3"/>
    <w:basedOn w:val="Normal"/>
    <w:next w:val="Normal"/>
    <w:qFormat/>
    <w:pPr>
      <w:spacing w:after="70" w:before="200"/>
    </w:pPr>
    <w:rPr>
      <w:rFonts w:ascii="Calibri" w:cs="Calibri" w:eastAsia="Calibri" w:hAnsi="Calibri"/>
      <w:b/>
      <w:bCs/>
      <w:color w:val="4A5568"/>
      <w:sz w:val="21"/>
      <w:szCs w:val="21"/>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Meta">
    <w:name w:val="Meta"/>
    <w:basedOn w:val="Normal"/>
    <w:qFormat/>
    <w:pPr>
      <w:spacing w:after="60"/>
    </w:pPr>
    <w:rPr>
      <w:color w:val="4A5568"/>
      <w:sz w:val="18"/>
      <w:szCs w:val="18"/>
    </w:rPr>
  </w:style>
  <w:style w:type="paragraph" w:styleId="Lead">
    <w:name w:val="Lead"/>
    <w:basedOn w:val="Normal"/>
    <w:qFormat/>
    <w:pPr>
      <w:spacing w:after="200"/>
    </w:pPr>
    <w:rPr>
      <w:color w:val="1F3A5F"/>
      <w:sz w:val="23"/>
      <w:szCs w:val="23"/>
    </w:rPr>
  </w:style>
  <w:style w:type="paragraph" w:styleId="Note">
    <w:name w:val="Note"/>
    <w:basedOn w:val="Normal"/>
    <w:qFormat/>
    <w:pPr>
      <w:spacing w:after="200" w:before="60"/>
    </w:pPr>
    <w:rPr>
      <w:i/>
      <w:iCs/>
      <w:color w:val="4A5568"/>
      <w:sz w:val="19"/>
      <w:szCs w:val="19"/>
    </w:rPr>
  </w:style>
  <w:style w:type="paragraph" w:styleId="Formula">
    <w:name w:val="Formula"/>
    <w:basedOn w:val="Normal"/>
    <w:qFormat/>
    <w:pPr>
      <w:spacing w:after="140" w:before="120"/>
      <w:ind w:left="360"/>
    </w:pPr>
    <w:rPr>
      <w:rFonts w:ascii="Consolas" w:cs="Consolas" w:eastAsia="Consolas" w:hAnsi="Consolas"/>
      <w:color w:val="1F3A5F"/>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2026-09-07T08:21:10.613Z</dcterms:created>
  <dcterms:modified xsi:type="dcterms:W3CDTF">2026-09-07T08:21:10.630Z</dcterms:modified>
</cp:coreProperties>
</file>

<file path=docProps/custom.xml><?xml version="1.0" encoding="utf-8"?>
<Properties xmlns="http://schemas.openxmlformats.org/officeDocument/2006/custom-properties" xmlns:vt="http://schemas.openxmlformats.org/officeDocument/2006/docPropsVTypes"/>
</file>