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90"/>
      </w:pPr>
      <w:r>
        <w:rPr>
          <w:b/>
          <w:bCs/>
          <w:color w:val="A9610A"/>
          <w:spacing w:val="40"/>
          <w:sz w:val="16"/>
          <w:szCs w:val="16"/>
        </w:rPr>
        <w:t xml:space="preserve">ADOPTION KIT · CONTENTS</w:t>
      </w:r>
    </w:p>
    <w:p>
      <w:pPr>
        <w:spacing w:after="60" w:before="0"/>
      </w:pPr>
      <w:r>
        <w:rPr>
          <w:b/>
          <w:bCs/>
          <w:color w:val="1F3A5F"/>
          <w:sz w:val="36"/>
          <w:szCs w:val="36"/>
        </w:rPr>
        <w:t xml:space="preserve">What is in this kit, and what to read first</w:t>
      </w:r>
    </w:p>
    <w:p>
      <w:pPr>
        <w:pBdr>
          <w:bottom w:val="single" w:color="1F3A5F" w:sz="8" w:space="8"/>
        </w:pBdr>
        <w:spacing w:after="200"/>
      </w:pPr>
      <w:r>
        <w:rPr>
          <w:color w:val="4A5568"/>
          <w:sz w:val="22"/>
          <w:szCs w:val="22"/>
        </w:rPr>
        <w:t xml:space="preserve">Six documents · version 0.6.0 · 7 September 2026</w:t>
      </w:r>
    </w:p>
    <w:p>
      <w:pPr>
        <w:pStyle w:val="Lead"/>
      </w:pPr>
      <w:r>
        <w:t xml:space="preserve">Nothing in this kit asks a jurisdiction to adopt anything as local law, and nothing in it costs money to consider. It is drafting and briefing material for the people who write and review development agreements.</w:t>
      </w:r>
    </w:p>
    <w:p>
      <w:pPr>
        <w:pStyle w:val="Heading2"/>
      </w:pPr>
      <w:r>
        <w:t xml:space="preserve">Read this first, by role</w:t>
      </w:r>
    </w:p>
    <w:tbl>
      <w:tblPr>
        <w:tblW w:type="dxa" w:w="9720"/>
        <w:tblBorders>
          <w:top w:val="single" w:color="C9D2DD" w:sz="4"/>
          <w:left w:val="none"/>
          <w:bottom w:val="single" w:color="C9D2DD" w:sz="4"/>
          <w:right w:val="none"/>
          <w:insideH w:val="single" w:color="C9D2DD" w:sz="2"/>
          <w:insideV w:val="none"/>
        </w:tblBorders>
      </w:tblPr>
      <w:tblGrid>
        <w:gridCol w:w="2500"/>
        <w:gridCol w:w="4100"/>
        <w:gridCol w:w="3120"/>
      </w:tblGrid>
      <w:tr>
        <w:trPr>
          <w:tblHeader/>
        </w:trPr>
        <w:tc>
          <w:tcPr>
            <w:tcW w:type="dxa" w:w="2500"/>
            <w:shd w:fill="1F3A5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If you are</w:t>
            </w:r>
          </w:p>
        </w:tc>
        <w:tc>
          <w:tcPr>
            <w:tcW w:type="dxa" w:w="4100"/>
            <w:shd w:fill="1F3A5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Start with</w:t>
            </w:r>
          </w:p>
        </w:tc>
        <w:tc>
          <w:tcPr>
            <w:tcW w:type="dxa" w:w="3120"/>
            <w:shd w:fill="1F3A5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Then</w:t>
            </w:r>
          </w:p>
        </w:tc>
      </w:tr>
      <w:tr>
        <w:tc>
          <w:tcPr>
            <w:tcW w:type="dxa" w:w="250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County attorney or counsel</w:t>
            </w:r>
          </w:p>
        </w:tc>
        <w:tc>
          <w:tcPr>
            <w:tcW w:type="dxa" w:w="410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MC-6 — Model Assurance Clause, with drafting notes</w:t>
            </w:r>
          </w:p>
        </w:tc>
        <w:tc>
          <w:tcPr>
            <w:tcW w:type="dxa" w:w="312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Adoption mechanics, Parts 1 and 2</w:t>
            </w:r>
          </w:p>
        </w:tc>
      </w:tr>
      <w:tr>
        <w:tc>
          <w:tcPr>
            <w:tcW w:type="dxa" w:w="250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County manager or administrator</w:t>
            </w:r>
          </w:p>
        </w:tc>
        <w:tc>
          <w:tcPr>
            <w:tcW w:type="dxa" w:w="410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Staff briefing memo — three pages</w:t>
            </w:r>
          </w:p>
        </w:tc>
        <w:tc>
          <w:tcPr>
            <w:tcW w:type="dxa" w:w="312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Objection handling, section “From the board”</w:t>
            </w:r>
          </w:p>
        </w:tc>
      </w:tr>
      <w:tr>
        <w:tc>
          <w:tcPr>
            <w:tcW w:type="dxa" w:w="250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Finance director or treasurer</w:t>
            </w:r>
          </w:p>
        </w:tc>
        <w:tc>
          <w:tcPr>
            <w:tcW w:type="dxa" w:w="410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Adoption mechanics, Part 3 — release and step-down</w:t>
            </w:r>
          </w:p>
        </w:tc>
        <w:tc>
          <w:tcPr>
            <w:tcW w:type="dxa" w:w="312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MC-6.3, on which instruments satisfy which obligations</w:t>
            </w:r>
          </w:p>
        </w:tc>
      </w:tr>
      <w:tr>
        <w:tc>
          <w:tcPr>
            <w:tcW w:type="dxa" w:w="250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Planning director</w:t>
            </w:r>
          </w:p>
        </w:tc>
        <w:tc>
          <w:tcPr>
            <w:tcW w:type="dxa" w:w="410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Staff briefing memo, section 3</w:t>
            </w:r>
          </w:p>
        </w:tc>
        <w:tc>
          <w:tcPr>
            <w:tcW w:type="dxa" w:w="312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Adoption mechanics, Part 1 — the review account</w:t>
            </w:r>
          </w:p>
        </w:tc>
      </w:tr>
      <w:tr>
        <w:tc>
          <w:tcPr>
            <w:tcW w:type="dxa" w:w="250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A board member with fifteen minutes</w:t>
            </w:r>
          </w:p>
        </w:tc>
        <w:tc>
          <w:tcPr>
            <w:tcW w:type="dxa" w:w="410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Staff briefing memo, sections 1, 5 and 6</w:t>
            </w:r>
          </w:p>
        </w:tc>
        <w:tc>
          <w:tcPr>
            <w:tcW w:type="dxa" w:w="312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Nothing else, unless you want to</w:t>
            </w:r>
          </w:p>
        </w:tc>
      </w:tr>
    </w:tbl>
    <w:p>
      <w:pPr>
        <w:pStyle w:val="Heading2"/>
      </w:pPr>
      <w:r>
        <w:t xml:space="preserve">The six documents</w:t>
      </w:r>
    </w:p>
    <w:tbl>
      <w:tblPr>
        <w:tblW w:type="dxa" w:w="9720"/>
        <w:tblBorders>
          <w:top w:val="single" w:color="C9D2DD" w:sz="4"/>
          <w:left w:val="none"/>
          <w:bottom w:val="single" w:color="C9D2DD" w:sz="4"/>
          <w:right w:val="none"/>
          <w:insideH w:val="single" w:color="C9D2DD" w:sz="2"/>
          <w:insideV w:val="none"/>
        </w:tblBorders>
      </w:tblPr>
      <w:tblGrid>
        <w:gridCol w:w="560"/>
        <w:gridCol w:w="3000"/>
        <w:gridCol w:w="6160"/>
      </w:tblGrid>
      <w:tr>
        <w:trPr>
          <w:tblHeader/>
        </w:trPr>
        <w:tc>
          <w:tcPr>
            <w:tcW w:type="dxa" w:w="560"/>
            <w:shd w:fill="1F3A5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/>
            </w:r>
          </w:p>
        </w:tc>
        <w:tc>
          <w:tcPr>
            <w:tcW w:type="dxa" w:w="3000"/>
            <w:shd w:fill="1F3A5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Document</w:t>
            </w:r>
          </w:p>
        </w:tc>
        <w:tc>
          <w:tcPr>
            <w:tcW w:type="dxa" w:w="6160"/>
            <w:shd w:fill="1F3A5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What it is</w:t>
            </w:r>
          </w:p>
        </w:tc>
      </w:tr>
      <w:tr>
        <w:tc>
          <w:tcPr>
            <w:tcW w:type="dxa" w:w="56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300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MC-6 — Model Assurance Clause</w:t>
            </w:r>
          </w:p>
        </w:tc>
        <w:tc>
          <w:tcPr>
            <w:tcW w:type="dxa" w:w="616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The clause itself, with drafting notes and the two questions counsel will be asked. Drafted to sit inside an existing development agreement.</w:t>
            </w:r>
          </w:p>
        </w:tc>
      </w:tr>
      <w:tr>
        <w:tc>
          <w:tcPr>
            <w:tcW w:type="dxa" w:w="56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300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Adoption mechanics</w:t>
            </w:r>
          </w:p>
        </w:tc>
        <w:tc>
          <w:tcPr>
            <w:tcW w:type="dxa" w:w="616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The review account, assessor conduct and conflict rules, and the release and step-down schedule template.</w:t>
            </w:r>
          </w:p>
        </w:tc>
      </w:tr>
      <w:tr>
        <w:tc>
          <w:tcPr>
            <w:tcW w:type="dxa" w:w="56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300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Staff briefing memo</w:t>
            </w:r>
          </w:p>
        </w:tc>
        <w:tc>
          <w:tcPr>
            <w:tcW w:type="dxa" w:w="616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Three pages of plain English for the manager and the board. No equations.</w:t>
            </w:r>
          </w:p>
        </w:tc>
      </w:tr>
      <w:tr>
        <w:tc>
          <w:tcPr>
            <w:tcW w:type="dxa" w:w="56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300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Objection handling</w:t>
            </w:r>
          </w:p>
        </w:tc>
        <w:tc>
          <w:tcPr>
            <w:tcW w:type="dxa" w:w="616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Nine objections with answers, and — where it matters — the answer that will get you into trouble.</w:t>
            </w:r>
          </w:p>
        </w:tc>
      </w:tr>
      <w:tr>
        <w:tc>
          <w:tcPr>
            <w:tcW w:type="dxa" w:w="56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300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The Standard, Part A</w:t>
            </w:r>
          </w:p>
        </w:tc>
        <w:tc>
          <w:tcPr>
            <w:tcW w:type="dxa" w:w="6160"/>
            <w:shd w:fill="FFFFFF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The normative text. Published, versioned, and citable by clause.</w:t>
            </w:r>
          </w:p>
        </w:tc>
      </w:tr>
      <w:tr>
        <w:tc>
          <w:tcPr>
            <w:tcW w:type="dxa" w:w="560"/>
            <w:shd w:fill="EDF2F7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300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Limitations register</w:t>
            </w:r>
          </w:p>
        </w:tc>
        <w:tc>
          <w:tcPr>
            <w:tcW w:type="dxa" w:w="6160"/>
            <w:shd w:fill="F7FAFC" w:color="auto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/>
            </w:pPr>
            <w:r>
              <w:rPr>
                <w:b w:val="false"/>
                <w:bCs w:val="false"/>
                <w:sz w:val="20"/>
                <w:szCs w:val="20"/>
              </w:rPr>
              <w:t xml:space="preserve">The published record of what the method does not yet do well, maintained under the same change control as the normative text.</w:t>
            </w:r>
          </w:p>
        </w:tc>
      </w:tr>
    </w:tbl>
    <w:p>
      <w:pPr>
        <w:pStyle w:val="Note"/>
        <w:pBdr>
          <w:left w:val="single" w:color="A9610A" w:sz="10" w:space="10"/>
        </w:pBdr>
        <w:spacing w:after="220" w:before="120"/>
        <w:ind w:left="360"/>
      </w:pPr>
      <w:r>
        <w:rPr>
          <w:b/>
          <w:bCs/>
          <w:i/>
          <w:iCs/>
          <w:color w:val="A9610A"/>
        </w:rPr>
        <w:t xml:space="preserve">On document 6.  </w:t>
      </w:r>
      <w:r>
        <w:rPr>
          <w:i/>
          <w:iCs/>
          <w:color w:val="4A5568"/>
        </w:rPr>
        <w:t xml:space="preserve">Read it. A jurisdiction is right to discount a method that publishes only its strengths, and the register exists so that the objection cannot be made. Four of its entries are open, including the most important one: the parameters are reasoned hypotheses, not fitted to realised outcomes.</w:t>
      </w:r>
    </w:p>
    <w:p>
      <w:pPr>
        <w:pStyle w:val="Heading2"/>
      </w:pPr>
      <w:r>
        <w:t xml:space="preserve">What this kit does not include</w:t>
      </w:r>
    </w:p>
    <w:p>
      <w:pPr>
        <w:pStyle w:val="ListParagraph"/>
        <w:numPr>
          <w:ilvl w:val="0"/>
          <w:numId w:val="2"/>
        </w:numPr>
      </w:pPr>
      <w:r>
        <w:t xml:space="preserve">Part B — the calibration. It is issued separately under change control to accredited assessors and is not published.</w:t>
      </w:r>
    </w:p>
    <w:p>
      <w:pPr>
        <w:pStyle w:val="ListParagraph"/>
        <w:numPr>
          <w:ilvl w:val="0"/>
          <w:numId w:val="2"/>
        </w:numPr>
      </w:pPr>
      <w:r>
        <w:t xml:space="preserve">Any representation about a specific project, applicant or jurisdiction.</w:t>
      </w:r>
    </w:p>
    <w:p>
      <w:pPr>
        <w:pStyle w:val="ListParagraph"/>
        <w:numPr>
          <w:ilvl w:val="0"/>
          <w:numId w:val="2"/>
        </w:numPr>
      </w:pPr>
      <w:r>
        <w:t xml:space="preserve">Legal advice. Every document must be adapted to local enabling authority by counsel.</w:t>
      </w:r>
    </w:p>
    <w:p>
      <w:pPr>
        <w:pBdr>
          <w:bottom w:val="single" w:color="C9D2DD" w:sz="6" w:space="1"/>
        </w:pBdr>
        <w:spacing w:after="160" w:before="60"/>
      </w:pPr>
    </w:p>
    <w:p>
      <w:pPr>
        <w:pStyle w:val="Meta"/>
      </w:pPr>
      <w:r>
        <w:t xml:space="preserve">DICA is a working specification under active revision. Version 0.6.0. Comments, corrections and register entries are welcome from any party, including applicants and their counsel, and their disposition is published.</w:t>
      </w:r>
    </w:p>
    <w:sectPr>
      <w:headerReference w:type="default" r:id="rId7"/>
      <w:footerReference w:type="default" r:id="rId8"/>
      <w:pgSz w:w="12240" w:h="15840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9D2DD" w:sz="4" w:space="6"/>
      </w:pBdr>
      <w:spacing w:before="0"/>
    </w:pPr>
    <w:r>
      <w:rPr>
        <w:color w:val="4A5568"/>
        <w:sz w:val="15"/>
        <w:szCs w:val="15"/>
      </w:rPr>
      <w:t xml:space="preserve">DICA adoption kit · v0.6.0 · 7 September 2026. Not legal advice.  </w:t>
    </w:r>
    <w:r>
      <w:rPr>
        <w:color w:val="4A5568"/>
        <w:sz w:val="15"/>
        <w:szCs w:val="15"/>
      </w:rPr>
      <w:t xml:space="preserve">Page </w:t>
    </w:r>
    <w:r>
      <w:rPr>
        <w:color w:val="4A5568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9D2DD" w:sz="4" w:space="6"/>
      </w:pBdr>
      <w:spacing w:after="0"/>
    </w:pPr>
    <w:r>
      <w:rPr>
        <w:b/>
        <w:bCs/>
        <w:color w:val="1F3A5F"/>
        <w:sz w:val="15"/>
        <w:szCs w:val="15"/>
      </w:rPr>
      <w:t xml:space="preserve">DICA  </w:t>
    </w:r>
    <w:r>
      <w:rPr>
        <w:color w:val="4A5568"/>
        <w:spacing w:val="20"/>
        <w:sz w:val="15"/>
        <w:szCs w:val="15"/>
      </w:rPr>
      <w:t xml:space="preserve">ADOPTION KIT</w:t>
    </w:r>
    <w:r>
      <w:rPr>
        <w:color w:val="4A5568"/>
        <w:sz w:val="15"/>
        <w:szCs w:val="15"/>
      </w:rPr>
      <w:t xml:space="preserve">		Kit contents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31" w:hanging="259"/>
      </w:pPr>
    </w:lvl>
    <w:lvl w:ilvl="1" w15:tentative="1">
      <w:start w:val="1"/>
      <w:numFmt w:val="bullet"/>
      <w:lvlText w:val="–"/>
      <w:lvlJc w:val="left"/>
      <w:pPr>
        <w:ind w:left="835" w:hanging="259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16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222222"/>
        <w:sz w:val="21"/>
        <w:szCs w:val="21"/>
      </w:rPr>
    </w:rPrDefault>
    <w:pPrDefault>
      <w:pPr>
        <w:spacing w:after="130"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spacing w:after="150" w:before="380"/>
    </w:pPr>
    <w:rPr>
      <w:rFonts w:ascii="Calibri" w:cs="Calibri" w:eastAsia="Calibri" w:hAnsi="Calibri"/>
      <w:b/>
      <w:bCs/>
      <w:color w:val="1F3A5F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60"/>
    </w:pPr>
    <w:rPr>
      <w:rFonts w:ascii="Calibri" w:cs="Calibri" w:eastAsia="Calibri" w:hAnsi="Calibri"/>
      <w:b/>
      <w:bCs/>
      <w:color w:val="1F3A5F"/>
      <w:sz w:val="23"/>
      <w:szCs w:val="23"/>
    </w:rPr>
  </w:style>
  <w:style w:type="paragraph" w:styleId="Heading3">
    <w:name w:val="Heading 3"/>
    <w:basedOn w:val="Normal"/>
    <w:next w:val="Normal"/>
    <w:qFormat/>
    <w:pPr>
      <w:spacing w:after="70" w:before="200"/>
    </w:pPr>
    <w:rPr>
      <w:rFonts w:ascii="Calibri" w:cs="Calibri" w:eastAsia="Calibri" w:hAnsi="Calibri"/>
      <w:b/>
      <w:bCs/>
      <w:color w:val="4A5568"/>
      <w:sz w:val="21"/>
      <w:szCs w:val="21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Meta">
    <w:name w:val="Meta"/>
    <w:basedOn w:val="Normal"/>
    <w:qFormat/>
    <w:pPr>
      <w:spacing w:after="60"/>
    </w:pPr>
    <w:rPr>
      <w:color w:val="4A5568"/>
      <w:sz w:val="18"/>
      <w:szCs w:val="18"/>
    </w:rPr>
  </w:style>
  <w:style w:type="paragraph" w:styleId="Lead">
    <w:name w:val="Lead"/>
    <w:basedOn w:val="Normal"/>
    <w:qFormat/>
    <w:pPr>
      <w:spacing w:after="200"/>
    </w:pPr>
    <w:rPr>
      <w:color w:val="1F3A5F"/>
      <w:sz w:val="23"/>
      <w:szCs w:val="23"/>
    </w:rPr>
  </w:style>
  <w:style w:type="paragraph" w:styleId="Note">
    <w:name w:val="Note"/>
    <w:basedOn w:val="Normal"/>
    <w:qFormat/>
    <w:pPr>
      <w:spacing w:after="200" w:before="60"/>
    </w:pPr>
    <w:rPr>
      <w:i/>
      <w:iCs/>
      <w:color w:val="4A5568"/>
      <w:sz w:val="19"/>
      <w:szCs w:val="19"/>
    </w:rPr>
  </w:style>
  <w:style w:type="paragraph" w:styleId="Formula">
    <w:name w:val="Formula"/>
    <w:basedOn w:val="Normal"/>
    <w:qFormat/>
    <w:pPr>
      <w:spacing w:after="140" w:before="120"/>
      <w:ind w:left="360"/>
    </w:pPr>
    <w:rPr>
      <w:rFonts w:ascii="Consolas" w:cs="Consolas" w:eastAsia="Consolas" w:hAnsi="Consolas"/>
      <w:color w:val="1F3A5F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2026-09-07T08:28:34.757Z</dcterms:created>
  <dcterms:modified xsi:type="dcterms:W3CDTF">2026-09-07T08:28:34.757Z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