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90"/>
      </w:pPr>
      <w:r>
        <w:rPr>
          <w:b/>
          <w:bCs/>
          <w:color w:val="A9610A"/>
          <w:spacing w:val="40"/>
          <w:sz w:val="16"/>
          <w:szCs w:val="16"/>
        </w:rPr>
        <w:t xml:space="preserve">STAFF BRIEFING · FOR THE MANAGER AND THE BOARD</w:t>
      </w:r>
    </w:p>
    <w:p>
      <w:pPr>
        <w:spacing w:after="60" w:before="0"/>
      </w:pPr>
      <w:r>
        <w:rPr>
          <w:b/>
          <w:bCs/>
          <w:color w:val="1F3A5F"/>
          <w:sz w:val="36"/>
          <w:szCs w:val="36"/>
        </w:rPr>
        <w:t xml:space="preserve">Sizing financial assurance on data-centre approvals</w:t>
      </w:r>
    </w:p>
    <w:p>
      <w:pPr>
        <w:pBdr>
          <w:bottom w:val="single" w:color="1F3A5F" w:sz="8" w:space="8"/>
        </w:pBdr>
        <w:spacing w:after="200"/>
      </w:pPr>
      <w:r>
        <w:rPr>
          <w:color w:val="4A5568"/>
          <w:sz w:val="22"/>
          <w:szCs w:val="22"/>
        </w:rPr>
        <w:t xml:space="preserve">Plain English · what it is, what it costs, and what it does not do</w:t>
      </w:r>
    </w:p>
    <w:p>
      <w:pPr>
        <w:pStyle w:val="Lead"/>
      </w:pPr>
      <w:r>
        <w:t xml:space="preserve">Three pages. This memo is for a county manager or board member who has fifteen minutes and needs to decide whether the subject is worth staff time. It contains no equations and asks for no adoption of anything as local law.</w:t>
      </w:r>
    </w:p>
    <w:p>
      <w:pPr>
        <w:pStyle w:val="Heading2"/>
      </w:pPr>
      <w:r>
        <w:t xml:space="preserve">1.  The problem, stated plainly</w:t>
      </w:r>
    </w:p>
    <w:p>
      <w:r>
        <w:t xml:space="preserve">When a county approves a large data centre, it usually requires the developer to post some form of security — a bond, a letter of credit, a cash deposit — against things that could go wrong. Roads damaged during construction. Water or power infrastructure the county ends up paying for. A site left unfinished or unrestored.</w:t>
      </w:r>
    </w:p>
    <w:p>
      <w:r>
        <w:t xml:space="preserve">The difficulty is not usually the amount. It is that nobody in the room can say where the amount came from.</w:t>
      </w:r>
    </w:p>
    <w:p>
      <w:r>
        <w:t xml:space="preserve">A figure arrived at by negotiation has three consequences the county lives with for decades. It cannot be defended when challenged, because there is no stated basis. It cannot be raised when circumstances change, because reopening it means reopening the agreement. And it cannot be lowered when the developer does work that genuinely reduces the risk, because lowering it requires the county to publicly agree to accept less.</w:t>
      </w:r>
    </w:p>
    <w:p>
      <w:pPr>
        <w:pStyle w:val="Heading2"/>
      </w:pPr>
      <w:r>
        <w:t xml:space="preserve">2.  What is being proposed</w:t>
      </w:r>
    </w:p>
    <w:p>
      <w:r>
        <w:t xml:space="preserve">That the county require the amount to be computed rather than negotiated — using a published method, applied by a reviewer the county selects and the applicant pays for, producing a figure any competent third party could reproduce.</w:t>
      </w:r>
    </w:p>
    <w:p>
      <w:r>
        <w:t xml:space="preserve">The method asks four questions in a fixed order, and each affects the number exactly once:</w:t>
      </w:r>
    </w:p>
    <w:p>
      <w:pPr>
        <w:pStyle w:val="ListParagraph"/>
        <w:numPr>
          <w:ilvl w:val="0"/>
          <w:numId w:val="2"/>
        </w:numPr>
      </w:pPr>
      <w:r>
        <w:t xml:space="preserve">What share of the cost does this project actually cause, as against growth that was happening anyway?</w:t>
      </w:r>
    </w:p>
    <w:p>
      <w:pPr>
        <w:pStyle w:val="ListParagraph"/>
        <w:numPr>
          <w:ilvl w:val="0"/>
          <w:numId w:val="2"/>
        </w:numPr>
      </w:pPr>
      <w:r>
        <w:t xml:space="preserve">What already covers it — contract, insurance, utility tariff, state law?</w:t>
      </w:r>
    </w:p>
    <w:p>
      <w:pPr>
        <w:pStyle w:val="ListParagraph"/>
        <w:numPr>
          <w:ilvl w:val="0"/>
          <w:numId w:val="2"/>
        </w:numPr>
      </w:pPr>
      <w:r>
        <w:t xml:space="preserve">How well is each figure known, and who prepared it? An independent reviewed study and a developer’s own estimate are not treated the same.</w:t>
      </w:r>
    </w:p>
    <w:p>
      <w:pPr>
        <w:pStyle w:val="ListParagraph"/>
        <w:numPr>
          <w:ilvl w:val="0"/>
          <w:numId w:val="2"/>
        </w:numPr>
      </w:pPr>
      <w:r>
        <w:t xml:space="preserve">What proportion of what remains should be secured?</w:t>
      </w:r>
    </w:p>
    <w:p>
      <w:r>
        <w:t xml:space="preserve">The third question is the one that changes behaviour. Because a well-evidenced figure carries a smaller requirement than an assumed one, an applicant who commissions independent review of its own numbers reduces its own obligation — by an amount that is computed, not haggled over.</w:t>
      </w:r>
    </w:p>
    <w:p>
      <w:pPr>
        <w:pStyle w:val="Heading2"/>
      </w:pPr>
      <w:r>
        <w:t xml:space="preserve">3.  What adoption actually involves</w:t>
      </w:r>
    </w:p>
    <w:p>
      <w:r>
        <w:t xml:space="preserve">Four steps. None requires a new ordinance, and none requires new money.</w:t>
      </w:r>
    </w:p>
    <w:tbl>
      <w:tblPr>
        <w:tblW w:type="dxa" w:w="9720"/>
        <w:tblBorders>
          <w:top w:val="single" w:color="C9D2DD" w:sz="4"/>
          <w:left w:val="none"/>
          <w:bottom w:val="single" w:color="C9D2DD" w:sz="4"/>
          <w:right w:val="none"/>
          <w:insideH w:val="single" w:color="C9D2DD" w:sz="2"/>
          <w:insideV w:val="none"/>
        </w:tblBorders>
      </w:tblPr>
      <w:tblGrid>
        <w:gridCol w:w="560"/>
        <w:gridCol w:w="4500"/>
        <w:gridCol w:w="2600"/>
        <w:gridCol w:w="2060"/>
      </w:tblGrid>
      <w:tr>
        <w:trPr>
          <w:tblHeader/>
        </w:trPr>
        <w:tc>
          <w:tcPr>
            <w:tcW w:type="dxa" w:w="560"/>
            <w:shd w:fill="1F3A5F" w:color="auto" w:val="clear"/>
            <w:tcMar>
              <w:top w:type="dxa" w:w="70"/>
              <w:left w:type="dxa" w:w="100"/>
              <w:bottom w:type="dxa" w:w="70"/>
              <w:right w:type="dxa" w:w="100"/>
            </w:tcMar>
          </w:tcPr>
          <w:p>
            <w:pPr>
              <w:spacing w:after="0"/>
            </w:pPr>
            <w:r>
              <w:rPr>
                <w:b/>
                <w:bCs/>
                <w:color w:val="FFFFFF"/>
                <w:sz w:val="19"/>
                <w:szCs w:val="19"/>
              </w:rPr>
              <w:t xml:space="preserve"/>
            </w:r>
          </w:p>
        </w:tc>
        <w:tc>
          <w:tcPr>
            <w:tcW w:type="dxa" w:w="4500"/>
            <w:shd w:fill="1F3A5F" w:color="auto" w:val="clear"/>
            <w:tcMar>
              <w:top w:type="dxa" w:w="70"/>
              <w:left w:type="dxa" w:w="100"/>
              <w:bottom w:type="dxa" w:w="70"/>
              <w:right w:type="dxa" w:w="100"/>
            </w:tcMar>
          </w:tcPr>
          <w:p>
            <w:pPr>
              <w:spacing w:after="0"/>
            </w:pPr>
            <w:r>
              <w:rPr>
                <w:b/>
                <w:bCs/>
                <w:color w:val="FFFFFF"/>
                <w:sz w:val="19"/>
                <w:szCs w:val="19"/>
              </w:rPr>
              <w:t xml:space="preserve">Step</w:t>
            </w:r>
          </w:p>
        </w:tc>
        <w:tc>
          <w:tcPr>
            <w:tcW w:type="dxa" w:w="2600"/>
            <w:shd w:fill="1F3A5F" w:color="auto" w:val="clear"/>
            <w:tcMar>
              <w:top w:type="dxa" w:w="70"/>
              <w:left w:type="dxa" w:w="100"/>
              <w:bottom w:type="dxa" w:w="70"/>
              <w:right w:type="dxa" w:w="100"/>
            </w:tcMar>
          </w:tcPr>
          <w:p>
            <w:pPr>
              <w:spacing w:after="0"/>
            </w:pPr>
            <w:r>
              <w:rPr>
                <w:b/>
                <w:bCs/>
                <w:color w:val="FFFFFF"/>
                <w:sz w:val="19"/>
                <w:szCs w:val="19"/>
              </w:rPr>
              <w:t xml:space="preserve">Who does it</w:t>
            </w:r>
          </w:p>
        </w:tc>
        <w:tc>
          <w:tcPr>
            <w:tcW w:type="dxa" w:w="2060"/>
            <w:shd w:fill="1F3A5F" w:color="auto" w:val="clear"/>
            <w:tcMar>
              <w:top w:type="dxa" w:w="70"/>
              <w:left w:type="dxa" w:w="100"/>
              <w:bottom w:type="dxa" w:w="70"/>
              <w:right w:type="dxa" w:w="100"/>
            </w:tcMar>
          </w:tcPr>
          <w:p>
            <w:pPr>
              <w:spacing w:after="0"/>
            </w:pPr>
            <w:r>
              <w:rPr>
                <w:b/>
                <w:bCs/>
                <w:color w:val="FFFFFF"/>
                <w:sz w:val="19"/>
                <w:szCs w:val="19"/>
              </w:rPr>
              <w:t xml:space="preserve">Effort</w:t>
            </w:r>
          </w:p>
        </w:tc>
      </w:tr>
      <w:tr>
        <w:tc>
          <w:tcPr>
            <w:tcW w:type="dxa" w:w="560"/>
            <w:shd w:fill="EDF2F7" w:color="auto" w:val="clear"/>
            <w:tcMar>
              <w:top w:type="dxa" w:w="70"/>
              <w:left w:type="dxa" w:w="100"/>
              <w:bottom w:type="dxa" w:w="70"/>
              <w:right w:type="dxa" w:w="100"/>
            </w:tcMar>
          </w:tcPr>
          <w:p>
            <w:pPr>
              <w:spacing w:after="0"/>
            </w:pPr>
            <w:r>
              <w:rPr>
                <w:b w:val="false"/>
                <w:bCs w:val="false"/>
                <w:sz w:val="20"/>
                <w:szCs w:val="20"/>
              </w:rPr>
              <w:t xml:space="preserve">1</w:t>
            </w:r>
          </w:p>
        </w:tc>
        <w:tc>
          <w:tcPr>
            <w:tcW w:type="dxa" w:w="4500"/>
            <w:shd w:fill="FFFFFF" w:color="auto" w:val="clear"/>
            <w:tcMar>
              <w:top w:type="dxa" w:w="70"/>
              <w:left w:type="dxa" w:w="100"/>
              <w:bottom w:type="dxa" w:w="70"/>
              <w:right w:type="dxa" w:w="100"/>
            </w:tcMar>
          </w:tcPr>
          <w:p>
            <w:pPr>
              <w:spacing w:after="0"/>
            </w:pPr>
            <w:r>
              <w:rPr>
                <w:b w:val="false"/>
                <w:bCs w:val="false"/>
                <w:sz w:val="20"/>
                <w:szCs w:val="20"/>
              </w:rPr>
              <w:t xml:space="preserve">The development agreement names a specific version of the method, so a later revision cannot reach back into an executed agreement.</w:t>
            </w:r>
          </w:p>
        </w:tc>
        <w:tc>
          <w:tcPr>
            <w:tcW w:type="dxa" w:w="2600"/>
            <w:shd w:fill="FFFFFF" w:color="auto" w:val="clear"/>
            <w:tcMar>
              <w:top w:type="dxa" w:w="70"/>
              <w:left w:type="dxa" w:w="100"/>
              <w:bottom w:type="dxa" w:w="70"/>
              <w:right w:type="dxa" w:w="100"/>
            </w:tcMar>
          </w:tcPr>
          <w:p>
            <w:pPr>
              <w:spacing w:after="0"/>
            </w:pPr>
            <w:r>
              <w:rPr>
                <w:b w:val="false"/>
                <w:bCs w:val="false"/>
                <w:sz w:val="20"/>
                <w:szCs w:val="20"/>
              </w:rPr>
              <w:t xml:space="preserve">County attorney</w:t>
            </w:r>
          </w:p>
        </w:tc>
        <w:tc>
          <w:tcPr>
            <w:tcW w:type="dxa" w:w="2060"/>
            <w:shd w:fill="FFFFFF" w:color="auto" w:val="clear"/>
            <w:tcMar>
              <w:top w:type="dxa" w:w="70"/>
              <w:left w:type="dxa" w:w="100"/>
              <w:bottom w:type="dxa" w:w="70"/>
              <w:right w:type="dxa" w:w="100"/>
            </w:tcMar>
          </w:tcPr>
          <w:p>
            <w:pPr>
              <w:spacing w:after="0"/>
            </w:pPr>
            <w:r>
              <w:rPr>
                <w:b w:val="false"/>
                <w:bCs w:val="false"/>
                <w:sz w:val="20"/>
                <w:szCs w:val="20"/>
              </w:rPr>
              <w:t xml:space="preserve">Drafting time</w:t>
            </w:r>
          </w:p>
        </w:tc>
      </w:tr>
      <w:tr>
        <w:tc>
          <w:tcPr>
            <w:tcW w:type="dxa" w:w="560"/>
            <w:shd w:fill="EDF2F7" w:color="auto" w:val="clear"/>
            <w:tcMar>
              <w:top w:type="dxa" w:w="70"/>
              <w:left w:type="dxa" w:w="100"/>
              <w:bottom w:type="dxa" w:w="70"/>
              <w:right w:type="dxa" w:w="100"/>
            </w:tcMar>
          </w:tcPr>
          <w:p>
            <w:pPr>
              <w:spacing w:after="0"/>
            </w:pPr>
            <w:r>
              <w:rPr>
                <w:b w:val="false"/>
                <w:bCs w:val="false"/>
                <w:sz w:val="20"/>
                <w:szCs w:val="20"/>
              </w:rPr>
              <w:t xml:space="preserve">2</w:t>
            </w:r>
          </w:p>
        </w:tc>
        <w:tc>
          <w:tcPr>
            <w:tcW w:type="dxa" w:w="4500"/>
            <w:shd w:fill="F7FAFC" w:color="auto" w:val="clear"/>
            <w:tcMar>
              <w:top w:type="dxa" w:w="70"/>
              <w:left w:type="dxa" w:w="100"/>
              <w:bottom w:type="dxa" w:w="70"/>
              <w:right w:type="dxa" w:w="100"/>
            </w:tcMar>
          </w:tcPr>
          <w:p>
            <w:pPr>
              <w:spacing w:after="0"/>
            </w:pPr>
            <w:r>
              <w:rPr>
                <w:b w:val="false"/>
                <w:bCs w:val="false"/>
                <w:sz w:val="20"/>
                <w:szCs w:val="20"/>
              </w:rPr>
              <w:t xml:space="preserve">The applicant funds a review account; the county selects and instructs the reviewer. This is the same mechanism already used for third-party plan review.</w:t>
            </w:r>
          </w:p>
        </w:tc>
        <w:tc>
          <w:tcPr>
            <w:tcW w:type="dxa" w:w="2600"/>
            <w:shd w:fill="F7FAFC" w:color="auto" w:val="clear"/>
            <w:tcMar>
              <w:top w:type="dxa" w:w="70"/>
              <w:left w:type="dxa" w:w="100"/>
              <w:bottom w:type="dxa" w:w="70"/>
              <w:right w:type="dxa" w:w="100"/>
            </w:tcMar>
          </w:tcPr>
          <w:p>
            <w:pPr>
              <w:spacing w:after="0"/>
            </w:pPr>
            <w:r>
              <w:rPr>
                <w:b w:val="false"/>
                <w:bCs w:val="false"/>
                <w:sz w:val="20"/>
                <w:szCs w:val="20"/>
              </w:rPr>
              <w:t xml:space="preserve">Planning and finance</w:t>
            </w:r>
          </w:p>
        </w:tc>
        <w:tc>
          <w:tcPr>
            <w:tcW w:type="dxa" w:w="2060"/>
            <w:shd w:fill="F7FAFC" w:color="auto" w:val="clear"/>
            <w:tcMar>
              <w:top w:type="dxa" w:w="70"/>
              <w:left w:type="dxa" w:w="100"/>
              <w:bottom w:type="dxa" w:w="70"/>
              <w:right w:type="dxa" w:w="100"/>
            </w:tcMar>
          </w:tcPr>
          <w:p>
            <w:pPr>
              <w:spacing w:after="0"/>
            </w:pPr>
            <w:r>
              <w:rPr>
                <w:b w:val="false"/>
                <w:bCs w:val="false"/>
                <w:sz w:val="20"/>
                <w:szCs w:val="20"/>
              </w:rPr>
              <w:t xml:space="preserve">Existing process</w:t>
            </w:r>
          </w:p>
        </w:tc>
      </w:tr>
      <w:tr>
        <w:tc>
          <w:tcPr>
            <w:tcW w:type="dxa" w:w="560"/>
            <w:shd w:fill="EDF2F7" w:color="auto" w:val="clear"/>
            <w:tcMar>
              <w:top w:type="dxa" w:w="70"/>
              <w:left w:type="dxa" w:w="100"/>
              <w:bottom w:type="dxa" w:w="70"/>
              <w:right w:type="dxa" w:w="100"/>
            </w:tcMar>
          </w:tcPr>
          <w:p>
            <w:pPr>
              <w:spacing w:after="0"/>
            </w:pPr>
            <w:r>
              <w:rPr>
                <w:b w:val="false"/>
                <w:bCs w:val="false"/>
                <w:sz w:val="20"/>
                <w:szCs w:val="20"/>
              </w:rPr>
              <w:t xml:space="preserve">3</w:t>
            </w:r>
          </w:p>
        </w:tc>
        <w:tc>
          <w:tcPr>
            <w:tcW w:type="dxa" w:w="4500"/>
            <w:shd w:fill="FFFFFF" w:color="auto" w:val="clear"/>
            <w:tcMar>
              <w:top w:type="dxa" w:w="70"/>
              <w:left w:type="dxa" w:w="100"/>
              <w:bottom w:type="dxa" w:w="70"/>
              <w:right w:type="dxa" w:w="100"/>
            </w:tcMar>
          </w:tcPr>
          <w:p>
            <w:pPr>
              <w:spacing w:after="0"/>
            </w:pPr>
            <w:r>
              <w:rPr>
                <w:b w:val="false"/>
                <w:bCs w:val="false"/>
                <w:sz w:val="20"/>
                <w:szCs w:val="20"/>
              </w:rPr>
              <w:t xml:space="preserve">The agreement states which instruments satisfy which obligations, and at what credit.</w:t>
            </w:r>
          </w:p>
        </w:tc>
        <w:tc>
          <w:tcPr>
            <w:tcW w:type="dxa" w:w="2600"/>
            <w:shd w:fill="FFFFFF" w:color="auto" w:val="clear"/>
            <w:tcMar>
              <w:top w:type="dxa" w:w="70"/>
              <w:left w:type="dxa" w:w="100"/>
              <w:bottom w:type="dxa" w:w="70"/>
              <w:right w:type="dxa" w:w="100"/>
            </w:tcMar>
          </w:tcPr>
          <w:p>
            <w:pPr>
              <w:spacing w:after="0"/>
            </w:pPr>
            <w:r>
              <w:rPr>
                <w:b w:val="false"/>
                <w:bCs w:val="false"/>
                <w:sz w:val="20"/>
                <w:szCs w:val="20"/>
              </w:rPr>
              <w:t xml:space="preserve">County attorney and finance</w:t>
            </w:r>
          </w:p>
        </w:tc>
        <w:tc>
          <w:tcPr>
            <w:tcW w:type="dxa" w:w="2060"/>
            <w:shd w:fill="FFFFFF" w:color="auto" w:val="clear"/>
            <w:tcMar>
              <w:top w:type="dxa" w:w="70"/>
              <w:left w:type="dxa" w:w="100"/>
              <w:bottom w:type="dxa" w:w="70"/>
              <w:right w:type="dxa" w:w="100"/>
            </w:tcMar>
          </w:tcPr>
          <w:p>
            <w:pPr>
              <w:spacing w:after="0"/>
            </w:pPr>
            <w:r>
              <w:rPr>
                <w:b w:val="false"/>
                <w:bCs w:val="false"/>
                <w:sz w:val="20"/>
                <w:szCs w:val="20"/>
              </w:rPr>
              <w:t xml:space="preserve">Drafting time</w:t>
            </w:r>
          </w:p>
        </w:tc>
      </w:tr>
      <w:tr>
        <w:tc>
          <w:tcPr>
            <w:tcW w:type="dxa" w:w="560"/>
            <w:shd w:fill="EDF2F7" w:color="auto" w:val="clear"/>
            <w:tcMar>
              <w:top w:type="dxa" w:w="70"/>
              <w:left w:type="dxa" w:w="100"/>
              <w:bottom w:type="dxa" w:w="70"/>
              <w:right w:type="dxa" w:w="100"/>
            </w:tcMar>
          </w:tcPr>
          <w:p>
            <w:pPr>
              <w:spacing w:after="0"/>
            </w:pPr>
            <w:r>
              <w:rPr>
                <w:b w:val="false"/>
                <w:bCs w:val="false"/>
                <w:sz w:val="20"/>
                <w:szCs w:val="20"/>
              </w:rPr>
              <w:t xml:space="preserve">4</w:t>
            </w:r>
          </w:p>
        </w:tc>
        <w:tc>
          <w:tcPr>
            <w:tcW w:type="dxa" w:w="4500"/>
            <w:shd w:fill="F7FAFC" w:color="auto" w:val="clear"/>
            <w:tcMar>
              <w:top w:type="dxa" w:w="70"/>
              <w:left w:type="dxa" w:w="100"/>
              <w:bottom w:type="dxa" w:w="70"/>
              <w:right w:type="dxa" w:w="100"/>
            </w:tcMar>
          </w:tcPr>
          <w:p>
            <w:pPr>
              <w:spacing w:after="0"/>
            </w:pPr>
            <w:r>
              <w:rPr>
                <w:b w:val="false"/>
                <w:bCs w:val="false"/>
                <w:sz w:val="20"/>
                <w:szCs w:val="20"/>
              </w:rPr>
              <w:t xml:space="preserve">Security steps down as conditions are met, rather than on a calendar.</w:t>
            </w:r>
          </w:p>
        </w:tc>
        <w:tc>
          <w:tcPr>
            <w:tcW w:type="dxa" w:w="2600"/>
            <w:shd w:fill="F7FAFC" w:color="auto" w:val="clear"/>
            <w:tcMar>
              <w:top w:type="dxa" w:w="70"/>
              <w:left w:type="dxa" w:w="100"/>
              <w:bottom w:type="dxa" w:w="70"/>
              <w:right w:type="dxa" w:w="100"/>
            </w:tcMar>
          </w:tcPr>
          <w:p>
            <w:pPr>
              <w:spacing w:after="0"/>
            </w:pPr>
            <w:r>
              <w:rPr>
                <w:b w:val="false"/>
                <w:bCs w:val="false"/>
                <w:sz w:val="20"/>
                <w:szCs w:val="20"/>
              </w:rPr>
              <w:t xml:space="preserve">County attorney</w:t>
            </w:r>
          </w:p>
        </w:tc>
        <w:tc>
          <w:tcPr>
            <w:tcW w:type="dxa" w:w="2060"/>
            <w:shd w:fill="F7FAFC" w:color="auto" w:val="clear"/>
            <w:tcMar>
              <w:top w:type="dxa" w:w="70"/>
              <w:left w:type="dxa" w:w="100"/>
              <w:bottom w:type="dxa" w:w="70"/>
              <w:right w:type="dxa" w:w="100"/>
            </w:tcMar>
          </w:tcPr>
          <w:p>
            <w:pPr>
              <w:spacing w:after="0"/>
            </w:pPr>
            <w:r>
              <w:rPr>
                <w:b w:val="false"/>
                <w:bCs w:val="false"/>
                <w:sz w:val="20"/>
                <w:szCs w:val="20"/>
              </w:rPr>
              <w:t xml:space="preserve">Drafting time</w:t>
            </w:r>
          </w:p>
        </w:tc>
      </w:tr>
    </w:tbl>
    <w:p>
      <w:pPr>
        <w:pStyle w:val="Heading2"/>
      </w:pPr>
      <w:r>
        <w:t xml:space="preserve">4.  What it costs the county</w:t>
      </w:r>
    </w:p>
    <w:p>
      <w:r>
        <w:t xml:space="preserve">Staff time, not budget. Review is funded by the applicant through the review account, in the same way third-party traffic and environmental review already is. The county’s direct cost is the time to select the reviewer and to read the determination.</w:t>
      </w:r>
    </w:p>
    <w:p>
      <w:r>
        <w:t xml:space="preserve">Because the county is not the payer, in most jurisdictions this does not trigger procurement. That should be confirmed against local thresholds, but where it holds it removes twelve to eighteen months from adoption.</w:t>
      </w:r>
    </w:p>
    <w:p>
      <w:pPr>
        <w:pStyle w:val="Heading2"/>
      </w:pPr>
      <w:r>
        <w:t xml:space="preserve">5.  What it does not do</w:t>
      </w:r>
    </w:p>
    <w:p>
      <w:r>
        <w:t xml:space="preserve">It is worth being precise about this, because overstating it is how staff lose credibility in a hearing.</w:t>
      </w:r>
    </w:p>
    <w:p>
      <w:pPr>
        <w:pStyle w:val="ListParagraph"/>
        <w:numPr>
          <w:ilvl w:val="0"/>
          <w:numId w:val="2"/>
        </w:numPr>
      </w:pPr>
      <w:r>
        <w:rPr>
          <w:b/>
          <w:bCs/>
        </w:rPr>
        <w:t xml:space="preserve">It does not say whether a project should be approved. </w:t>
      </w:r>
      <w:r>
        <w:t xml:space="preserve">It sizes what should be held if it is approved. A method that answered the approval question would be a policy instrument and would rightly be treated as one by every party.</w:t>
      </w:r>
    </w:p>
    <w:p>
      <w:pPr>
        <w:pStyle w:val="ListParagraph"/>
        <w:numPr>
          <w:ilvl w:val="0"/>
          <w:numId w:val="2"/>
        </w:numPr>
      </w:pPr>
      <w:r>
        <w:rPr>
          <w:b/>
          <w:bCs/>
        </w:rPr>
        <w:t xml:space="preserve">It does not guarantee anyone a bond. </w:t>
      </w:r>
      <w:r>
        <w:t xml:space="preserve">Capacity comes off the applicant’s balance sheet. No method changes that.</w:t>
      </w:r>
    </w:p>
    <w:p>
      <w:pPr>
        <w:pStyle w:val="ListParagraph"/>
        <w:numPr>
          <w:ilvl w:val="0"/>
          <w:numId w:val="2"/>
        </w:numPr>
      </w:pPr>
      <w:r>
        <w:rPr>
          <w:b/>
          <w:bCs/>
        </w:rPr>
        <w:t xml:space="preserve">It is not a rating, a score or a certification. </w:t>
      </w:r>
      <w:r>
        <w:t xml:space="preserve">There is nothing to display and nothing to put in a prospectus.</w:t>
      </w:r>
    </w:p>
    <w:p>
      <w:pPr>
        <w:pStyle w:val="ListParagraph"/>
        <w:numPr>
          <w:ilvl w:val="0"/>
          <w:numId w:val="2"/>
        </w:numPr>
      </w:pPr>
      <w:r>
        <w:rPr>
          <w:b/>
          <w:bCs/>
        </w:rPr>
        <w:t xml:space="preserve">It does not replace underwriting, insurance or the county’s own judgement. </w:t>
      </w:r>
      <w:r>
        <w:t xml:space="preserve">It produces a number and a record of how it was reached.</w:t>
      </w:r>
    </w:p>
    <w:p>
      <w:pPr>
        <w:pStyle w:val="Heading2"/>
      </w:pPr>
      <w:r>
        <w:t xml:space="preserve">6.  Will this cost us the project?</w:t>
      </w:r>
    </w:p>
    <w:p>
      <w:r>
        <w:t xml:space="preserve">It is the first question a board will ask, and the honest answer has two parts.</w:t>
      </w:r>
    </w:p>
    <w:p>
      <w:r>
        <w:t xml:space="preserve">Most of a first-pass requirement is not exposure — it is the premium charged because a figure rests on the applicant’s own attestation rather than on independent work. That premium is refundable by doing the work, and the applicant can compute in advance exactly what the work is worth. For a developer with a real project and real numbers, a predictable computed requirement is easier to finance than an open-ended one set by whatever a future board will bear.</w:t>
      </w:r>
    </w:p>
    <w:p>
      <w:r>
        <w:t xml:space="preserve">The second part is less comfortable. For an applicant whose position depends on the number not being examined closely, this is worse than the status quo, and no framing changes that. Staff should expect that objection and should not pretend it away.</w:t>
      </w:r>
    </w:p>
    <w:p>
      <w:pPr>
        <w:pStyle w:val="Heading2"/>
      </w:pPr>
      <w:r>
        <w:t xml:space="preserve">7.  The decision requested</w:t>
      </w:r>
    </w:p>
    <w:p>
      <w:r>
        <w:t xml:space="preserve">None, yet. What is proposed at this stage is that the county attorney review the model clause and advise whether it fits the county’s enabling authority and existing agreement template. That is a reading task, not a procurement, and it commits the county to nothing.</w:t>
      </w:r>
    </w:p>
    <w:p>
      <w:pPr>
        <w:pBdr>
          <w:bottom w:val="single" w:color="C9D2DD" w:sz="6" w:space="1"/>
        </w:pBdr>
        <w:spacing w:after="160" w:before="60"/>
      </w:pPr>
    </w:p>
    <w:p>
      <w:pPr>
        <w:pStyle w:val="Meta"/>
      </w:pPr>
      <w:r>
        <w:t xml:space="preserve">Prepared as briefing material. Not legal, financial or actuarial advice. The method’s normative text and its published register of known limitations are available and versioned; staff are encouraged to read the limitations register before relying on anything in this memo.</w:t>
      </w:r>
    </w:p>
    <w:sectPr>
      <w:headerReference w:type="default" r:id="rId7"/>
      <w:footerReference w:type="default" r:id="rId8"/>
      <w:pgSz w:w="12240" w:h="15840"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9D2DD" w:sz="4" w:space="6"/>
      </w:pBdr>
      <w:spacing w:before="0"/>
    </w:pPr>
    <w:r>
      <w:rPr>
        <w:color w:val="4A5568"/>
        <w:sz w:val="15"/>
        <w:szCs w:val="15"/>
      </w:rPr>
      <w:t xml:space="preserve">DICA adoption kit · v0.6.0 · 7 September 2026. Not legal advice.  </w:t>
    </w:r>
    <w:r>
      <w:rPr>
        <w:color w:val="4A5568"/>
        <w:sz w:val="15"/>
        <w:szCs w:val="15"/>
      </w:rPr>
      <w:t xml:space="preserve">Page </w:t>
    </w:r>
    <w:r>
      <w:rPr>
        <w:color w:val="4A5568"/>
        <w:sz w:val="15"/>
        <w:szCs w:val="15"/>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9D2DD" w:sz="4" w:space="6"/>
      </w:pBdr>
      <w:spacing w:after="0"/>
    </w:pPr>
    <w:r>
      <w:rPr>
        <w:b/>
        <w:bCs/>
        <w:color w:val="1F3A5F"/>
        <w:sz w:val="15"/>
        <w:szCs w:val="15"/>
      </w:rPr>
      <w:t xml:space="preserve">DICA  </w:t>
    </w:r>
    <w:r>
      <w:rPr>
        <w:color w:val="4A5568"/>
        <w:spacing w:val="20"/>
        <w:sz w:val="15"/>
        <w:szCs w:val="15"/>
      </w:rPr>
      <w:t xml:space="preserve">ADOPTION KIT</w:t>
    </w:r>
    <w:r>
      <w:rPr>
        <w:color w:val="4A5568"/>
        <w:sz w:val="15"/>
        <w:szCs w:val="15"/>
      </w:rPr>
      <w:t xml:space="preserve">		Staff briefing memo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31" w:hanging="259"/>
      </w:pPr>
    </w:lvl>
    <w:lvl w:ilvl="1" w15:tentative="1">
      <w:start w:val="1"/>
      <w:numFmt w:val="bullet"/>
      <w:lvlText w:val="–"/>
      <w:lvlJc w:val="left"/>
      <w:pPr>
        <w:ind w:left="835" w:hanging="259"/>
      </w:pPr>
    </w:lvl>
  </w:abstractNum>
  <w:abstractNum w:abstractNumId="3" w15:restartNumberingAfterBreak="0">
    <w:multiLevelType w:val="hybridMultilevel"/>
    <w:lvl w:ilvl="0" w15:tentative="1">
      <w:start w:val="1"/>
      <w:numFmt w:val="decimal"/>
      <w:lvlText w:val="%1."/>
      <w:lvlJc w:val="left"/>
      <w:pPr>
        <w:ind w:left="460" w:hanging="316"/>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222222"/>
        <w:sz w:val="21"/>
        <w:szCs w:val="21"/>
      </w:rPr>
    </w:rPrDefault>
    <w:pPrDefault>
      <w:pPr>
        <w:spacing w:after="130" w:line="276"/>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spacing w:after="150" w:before="380"/>
    </w:pPr>
    <w:rPr>
      <w:rFonts w:ascii="Calibri" w:cs="Calibri" w:eastAsia="Calibri" w:hAnsi="Calibri"/>
      <w:b/>
      <w:bCs/>
      <w:color w:val="1F3A5F"/>
      <w:sz w:val="30"/>
      <w:szCs w:val="30"/>
    </w:rPr>
  </w:style>
  <w:style w:type="paragraph" w:styleId="Heading2">
    <w:name w:val="Heading 2"/>
    <w:basedOn w:val="Normal"/>
    <w:next w:val="Normal"/>
    <w:qFormat/>
    <w:pPr>
      <w:spacing w:after="100" w:before="260"/>
    </w:pPr>
    <w:rPr>
      <w:rFonts w:ascii="Calibri" w:cs="Calibri" w:eastAsia="Calibri" w:hAnsi="Calibri"/>
      <w:b/>
      <w:bCs/>
      <w:color w:val="1F3A5F"/>
      <w:sz w:val="23"/>
      <w:szCs w:val="23"/>
    </w:rPr>
  </w:style>
  <w:style w:type="paragraph" w:styleId="Heading3">
    <w:name w:val="Heading 3"/>
    <w:basedOn w:val="Normal"/>
    <w:next w:val="Normal"/>
    <w:qFormat/>
    <w:pPr>
      <w:spacing w:after="70" w:before="200"/>
    </w:pPr>
    <w:rPr>
      <w:rFonts w:ascii="Calibri" w:cs="Calibri" w:eastAsia="Calibri" w:hAnsi="Calibri"/>
      <w:b/>
      <w:bCs/>
      <w:color w:val="4A5568"/>
      <w:sz w:val="21"/>
      <w:szCs w:val="21"/>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Meta">
    <w:name w:val="Meta"/>
    <w:basedOn w:val="Normal"/>
    <w:qFormat/>
    <w:pPr>
      <w:spacing w:after="60"/>
    </w:pPr>
    <w:rPr>
      <w:color w:val="4A5568"/>
      <w:sz w:val="18"/>
      <w:szCs w:val="18"/>
    </w:rPr>
  </w:style>
  <w:style w:type="paragraph" w:styleId="Lead">
    <w:name w:val="Lead"/>
    <w:basedOn w:val="Normal"/>
    <w:qFormat/>
    <w:pPr>
      <w:spacing w:after="200"/>
    </w:pPr>
    <w:rPr>
      <w:color w:val="1F3A5F"/>
      <w:sz w:val="23"/>
      <w:szCs w:val="23"/>
    </w:rPr>
  </w:style>
  <w:style w:type="paragraph" w:styleId="Note">
    <w:name w:val="Note"/>
    <w:basedOn w:val="Normal"/>
    <w:qFormat/>
    <w:pPr>
      <w:spacing w:after="200" w:before="60"/>
    </w:pPr>
    <w:rPr>
      <w:i/>
      <w:iCs/>
      <w:color w:val="4A5568"/>
      <w:sz w:val="19"/>
      <w:szCs w:val="19"/>
    </w:rPr>
  </w:style>
  <w:style w:type="paragraph" w:styleId="Formula">
    <w:name w:val="Formula"/>
    <w:basedOn w:val="Normal"/>
    <w:qFormat/>
    <w:pPr>
      <w:spacing w:after="140" w:before="120"/>
      <w:ind w:left="360"/>
    </w:pPr>
    <w:rPr>
      <w:rFonts w:ascii="Consolas" w:cs="Consolas" w:eastAsia="Consolas" w:hAnsi="Consolas"/>
      <w:color w:val="1F3A5F"/>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2026-09-07T08:28:34.823Z</dcterms:created>
  <dcterms:modified xsi:type="dcterms:W3CDTF">2026-09-07T08:28:34.823Z</dcterms:modified>
</cp:coreProperties>
</file>

<file path=docProps/custom.xml><?xml version="1.0" encoding="utf-8"?>
<Properties xmlns="http://schemas.openxmlformats.org/officeDocument/2006/custom-properties" xmlns:vt="http://schemas.openxmlformats.org/officeDocument/2006/docPropsVTypes"/>
</file>