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90"/>
      </w:pPr>
      <w:r>
        <w:rPr>
          <w:b/>
          <w:bCs/>
          <w:color w:val="A9610A"/>
          <w:spacing w:val="40"/>
          <w:sz w:val="16"/>
          <w:szCs w:val="16"/>
        </w:rPr>
        <w:t xml:space="preserve">OBJECTION HANDLING · FOR STAFF AND COUNSEL</w:t>
      </w:r>
    </w:p>
    <w:p>
      <w:pPr>
        <w:spacing w:after="60" w:before="0"/>
      </w:pPr>
      <w:r>
        <w:rPr>
          <w:b/>
          <w:bCs/>
          <w:color w:val="1F3A5F"/>
          <w:sz w:val="36"/>
          <w:szCs w:val="36"/>
        </w:rPr>
        <w:t xml:space="preserve">What you will be asked, and what to answer</w:t>
      </w:r>
    </w:p>
    <w:p>
      <w:pPr>
        <w:pBdr>
          <w:bottom w:val="single" w:color="1F3A5F" w:sz="8" w:space="8"/>
        </w:pBdr>
        <w:spacing w:after="200"/>
      </w:pPr>
      <w:r>
        <w:rPr>
          <w:color w:val="4A5568"/>
          <w:sz w:val="22"/>
          <w:szCs w:val="22"/>
        </w:rPr>
        <w:t xml:space="preserve">Nine objections — from the applicant’s counsel, from the board, and from people who are on your side</w:t>
      </w:r>
    </w:p>
    <w:p>
      <w:pPr>
        <w:pStyle w:val="Lead"/>
      </w:pPr>
      <w:r>
        <w:t xml:space="preserve">Every answer below is one a staff member can give in a public meeting without overclaiming. Each is followed, where it matters, by the version of the answer that will get you into trouble.</w:t>
      </w:r>
    </w:p>
    <w:p>
      <w:pPr>
        <w:pStyle w:val="Heading1"/>
      </w:pPr>
      <w:r>
        <w:t xml:space="preserve">From the applicant’s counsel</w:t>
      </w:r>
    </w:p>
    <w:p>
      <w:pPr>
        <w:pStyle w:val="Heading2"/>
      </w:pPr>
      <w:r>
        <w:t xml:space="preserve">1.  “This is an unfunded exaction dressed up as arithmetic.”</w:t>
      </w:r>
    </w:p>
    <w:p>
      <w:r>
        <w:t xml:space="preserve">The requirement attaches only to costs attributed to the development and not already covered by an instrument standing ahead of the county. Both the attribution share and the existing protection are computed and both are stated on the face of the determination. So the objection resolves to a specific input — which your client is free to contest on evidence.</w:t>
      </w:r>
    </w:p>
    <w:p>
      <w:pPr>
        <w:pStyle w:val="Note"/>
        <w:pBdr>
          <w:left w:val="single" w:color="9B2226" w:sz="10" w:space="10"/>
        </w:pBdr>
        <w:spacing w:after="240" w:before="40"/>
        <w:ind w:left="360"/>
      </w:pPr>
      <w:r>
        <w:rPr>
          <w:b/>
          <w:bCs/>
          <w:i/>
          <w:iCs/>
          <w:color w:val="9B2226"/>
        </w:rPr>
        <w:t xml:space="preserve">Do not say.  </w:t>
      </w:r>
      <w:r>
        <w:rPr>
          <w:i/>
          <w:iCs/>
          <w:color w:val="4A5568"/>
        </w:rPr>
        <w:t xml:space="preserve">That the method resolves the constitutional question. It does not. Nexus and proportionality turn on state law and on the record the county builds. What the method does is make the record capable of supporting the test.</w:t>
      </w:r>
    </w:p>
    <w:p>
      <w:pPr>
        <w:pStyle w:val="Heading2"/>
      </w:pPr>
      <w:r>
        <w:t xml:space="preserve">2.  “Your consultant’s number is unreviewable.”</w:t>
      </w:r>
    </w:p>
    <w:p>
      <w:r>
        <w:t xml:space="preserve">It is reviewable line by line. The function is published, every input cites the document it came from, and a second reviewer working from the same record must reach the same number or identify the input on which they differ. That is a materially stronger position than the one the county is in today.</w:t>
      </w:r>
    </w:p>
    <w:p>
      <w:pPr>
        <w:pStyle w:val="Heading2"/>
      </w:pPr>
      <w:r>
        <w:t xml:space="preserve">3.  “You are pricing your own fee off the number you set.”</w:t>
      </w:r>
    </w:p>
    <w:p>
      <w:r>
        <w:t xml:space="preserve">No fee under this method may be indexed to the amount determined, and no person participating in a determination may be compensated from the placement of any instrument satisfying it. Both prohibitions are in the clause your client is being asked to sign, not in a policy document somewhere.</w:t>
      </w:r>
    </w:p>
    <w:p>
      <w:pPr>
        <w:pStyle w:val="Heading2"/>
      </w:pPr>
      <w:r>
        <w:t xml:space="preserve">4.  “This will make the project uninvestable.”</w:t>
      </w:r>
    </w:p>
    <w:p>
      <w:r>
        <w:t xml:space="preserve">Most of a first-pass requirement is uncertainty loading, not exposure. Your client can compute in advance what independent review of any input is worth, and the reduction is automatic under the clause — it does not require the board to agree to accept less. That is a better position than negotiating a number that can only be reopened politically.</w:t>
      </w:r>
    </w:p>
    <w:p>
      <w:pPr>
        <w:pStyle w:val="Note"/>
        <w:pBdr>
          <w:left w:val="single" w:color="9B2226" w:sz="10" w:space="10"/>
        </w:pBdr>
        <w:spacing w:after="240" w:before="40"/>
        <w:ind w:left="360"/>
      </w:pPr>
      <w:r>
        <w:rPr>
          <w:b/>
          <w:bCs/>
          <w:i/>
          <w:iCs/>
          <w:color w:val="9B2226"/>
        </w:rPr>
        <w:t xml:space="preserve">Do not say.  </w:t>
      </w:r>
      <w:r>
        <w:rPr>
          <w:i/>
          <w:iCs/>
          <w:color w:val="4A5568"/>
        </w:rPr>
        <w:t xml:space="preserve">That the requirement will definitely be lower than what they expected. It may be higher. The claim is that it will be reasoned and reducible, not that it will be small.</w:t>
      </w:r>
    </w:p>
    <w:p>
      <w:pPr>
        <w:pStyle w:val="Heading1"/>
      </w:pPr>
      <w:r>
        <w:t xml:space="preserve">From the board</w:t>
      </w:r>
    </w:p>
    <w:p>
      <w:pPr>
        <w:pStyle w:val="Heading2"/>
      </w:pPr>
      <w:r>
        <w:t xml:space="preserve">5.  “Will this cost us the project?”</w:t>
      </w:r>
    </w:p>
    <w:p>
      <w:r>
        <w:t xml:space="preserve">It changes the requirement from an unknown into something the developer can model before it files. For a developer with a real project, predictability is worth money — their lenders dislike open-ended obligations more than they dislike defined ones. For a developer whose plan depends on the number not being examined, yes, this is worse for them, and we should be honest that we are content with that.</w:t>
      </w:r>
    </w:p>
    <w:p>
      <w:pPr>
        <w:pStyle w:val="Heading2"/>
      </w:pPr>
      <w:r>
        <w:t xml:space="preserve">6.  “Why do we need an outside method? Can’t our attorney just write conditions?”</w:t>
      </w:r>
    </w:p>
    <w:p>
      <w:r>
        <w:t xml:space="preserve">Counsel can and does. The difficulty with conditions negotiated project by project is that they are only as durable as the negotiating position of the board that negotiated them, and each one gives the next applicant a precedent argument for lighter treatment. A published method removes the precedent problem, because every project is measured by the same function against its own facts. It does not replace counsel’s judgement; it gives it a stated basis.</w:t>
      </w:r>
    </w:p>
    <w:p>
      <w:pPr>
        <w:pStyle w:val="Heading2"/>
      </w:pPr>
      <w:r>
        <w:t xml:space="preserve">7.  “What if the method changes after we sign?”</w:t>
      </w:r>
    </w:p>
    <w:p>
      <w:r>
        <w:t xml:space="preserve">It cannot reach into an executed agreement. The clause names a specific version, and a later revision applies only if both parties agree in writing. That provision is there for the applicant’s protection and it is the reason their counsel can sign it.</w:t>
      </w:r>
    </w:p>
    <w:p>
      <w:pPr>
        <w:pStyle w:val="Heading1"/>
      </w:pPr>
      <w:r>
        <w:t xml:space="preserve">From people who are on your side</w:t>
      </w:r>
    </w:p>
    <w:p>
      <w:pPr>
        <w:pStyle w:val="Heading2"/>
      </w:pPr>
      <w:r>
        <w:t xml:space="preserve">8.  “Who are these people, and why should we trust their numbers?”</w:t>
      </w:r>
    </w:p>
    <w:p>
      <w:r>
        <w:t xml:space="preserve">The right answer is not a credential. It is that the method is published, the function is public, the parameters are versioned, and the known weaknesses are published in a maintained register that anyone — including an opposing expert — may cite against it. The county is not being asked to trust a firm. It is being asked to require a computation it can check.</w:t>
      </w:r>
    </w:p>
    <w:p>
      <w:pPr>
        <w:pStyle w:val="Note"/>
        <w:pBdr>
          <w:left w:val="single" w:color="9B2226" w:sz="10" w:space="10"/>
        </w:pBdr>
        <w:spacing w:after="240" w:before="40"/>
        <w:ind w:left="360"/>
      </w:pPr>
      <w:r>
        <w:rPr>
          <w:b/>
          <w:bCs/>
          <w:i/>
          <w:iCs/>
          <w:color w:val="9B2226"/>
        </w:rPr>
        <w:t xml:space="preserve">Do not say.  </w:t>
      </w:r>
      <w:r>
        <w:rPr>
          <w:i/>
          <w:iCs/>
          <w:color w:val="4A5568"/>
        </w:rPr>
        <w:t xml:space="preserve">That the method is proven, calibrated, or industry standard. It is a working specification, the parameters are reasoned hypotheses rather than fitted to loss history, and that is stated openly in the limitations register. Claiming otherwise will be found out, and it will be found out by the person you least want finding it out.</w:t>
      </w:r>
    </w:p>
    <w:p>
      <w:pPr>
        <w:pStyle w:val="Heading2"/>
      </w:pPr>
      <w:r>
        <w:t xml:space="preserve">9.  “Shouldn’t we just impose a large number and be done with it?”</w:t>
      </w:r>
    </w:p>
    <w:p>
      <w:r>
        <w:t xml:space="preserve">A large number with no stated basis has the same defect as a small one: it cannot be defended when challenged and it cannot be adjusted when facts change. It also removes any reason for the applicant to reduce the underlying risk, because nothing they do changes the figure. The point of the method is not severity. It is that the number has a reason — which is as often an argument for a lower figure as a higher one.</w:t>
      </w:r>
    </w:p>
    <w:p>
      <w:pPr>
        <w:pBdr>
          <w:bottom w:val="single" w:color="C9D2DD" w:sz="6" w:space="1"/>
        </w:pBdr>
        <w:spacing w:after="160" w:before="60"/>
      </w:pPr>
    </w:p>
    <w:p>
      <w:pPr>
        <w:pStyle w:val="Heading2"/>
      </w:pPr>
      <w:r>
        <w:t xml:space="preserve">Two rules for the room</w:t>
      </w:r>
    </w:p>
    <w:p>
      <w:pPr>
        <w:pStyle w:val="ListParagraph"/>
        <w:numPr>
          <w:ilvl w:val="0"/>
          <w:numId w:val="2"/>
        </w:numPr>
      </w:pPr>
      <w:r>
        <w:rPr>
          <w:b/>
          <w:bCs/>
        </w:rPr>
        <w:t xml:space="preserve">Concede the true part first. </w:t>
      </w:r>
      <w:r>
        <w:t xml:space="preserve">Every objection above has a true component. Naming it before the other side does is what buys the rest of the answer.</w:t>
      </w:r>
    </w:p>
    <w:p>
      <w:pPr>
        <w:pStyle w:val="ListParagraph"/>
        <w:numPr>
          <w:ilvl w:val="0"/>
          <w:numId w:val="2"/>
        </w:numPr>
      </w:pPr>
      <w:r>
        <w:rPr>
          <w:b/>
          <w:bCs/>
        </w:rPr>
        <w:t xml:space="preserve">Never assert a number you cannot source. </w:t>
      </w:r>
      <w:r>
        <w:t xml:space="preserve">A single unsourced figure quoted at a hearing will be checked, and losing that exchange costs more than the point was worth.</w:t>
      </w:r>
    </w:p>
    <w:p>
      <w:pPr>
        <w:pBdr>
          <w:bottom w:val="single" w:color="C9D2DD" w:sz="6" w:space="1"/>
        </w:pBdr>
        <w:spacing w:after="160" w:before="60"/>
      </w:pPr>
    </w:p>
    <w:p>
      <w:pPr>
        <w:pStyle w:val="Meta"/>
      </w:pPr>
      <w:r>
        <w:t xml:space="preserve">Prepared as briefing material for county staff and counsel. Not legal advice. Nothing in this document expresses a view on whether any particular development should be approved.</w:t>
      </w:r>
    </w:p>
    <w:sectPr>
      <w:headerReference w:type="default" r:id="rId7"/>
      <w:footerReference w:type="default" r:id="rId8"/>
      <w:pgSz w:w="12240" w:h="15840"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9D2DD" w:sz="4" w:space="6"/>
      </w:pBdr>
      <w:spacing w:before="0"/>
    </w:pPr>
    <w:r>
      <w:rPr>
        <w:color w:val="4A5568"/>
        <w:sz w:val="15"/>
        <w:szCs w:val="15"/>
      </w:rPr>
      <w:t xml:space="preserve">DICA adoption kit · v0.6.0 · 7 September 2026. Not legal advice.  </w:t>
    </w:r>
    <w:r>
      <w:rPr>
        <w:color w:val="4A5568"/>
        <w:sz w:val="15"/>
        <w:szCs w:val="15"/>
      </w:rPr>
      <w:t xml:space="preserve">Page </w:t>
    </w:r>
    <w:r>
      <w:rPr>
        <w:color w:val="4A5568"/>
        <w:sz w:val="15"/>
        <w:szCs w:val="15"/>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9D2DD" w:sz="4" w:space="6"/>
      </w:pBdr>
      <w:spacing w:after="0"/>
    </w:pPr>
    <w:r>
      <w:rPr>
        <w:b/>
        <w:bCs/>
        <w:color w:val="1F3A5F"/>
        <w:sz w:val="15"/>
        <w:szCs w:val="15"/>
      </w:rPr>
      <w:t xml:space="preserve">DICA  </w:t>
    </w:r>
    <w:r>
      <w:rPr>
        <w:color w:val="4A5568"/>
        <w:spacing w:val="20"/>
        <w:sz w:val="15"/>
        <w:szCs w:val="15"/>
      </w:rPr>
      <w:t xml:space="preserve">ADOPTION KIT</w:t>
    </w:r>
    <w:r>
      <w:rPr>
        <w:color w:val="4A5568"/>
        <w:sz w:val="15"/>
        <w:szCs w:val="15"/>
      </w:rPr>
      <w:t xml:space="preserve">		Objection handling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31" w:hanging="259"/>
      </w:pPr>
    </w:lvl>
    <w:lvl w:ilvl="1" w15:tentative="1">
      <w:start w:val="1"/>
      <w:numFmt w:val="bullet"/>
      <w:lvlText w:val="–"/>
      <w:lvlJc w:val="left"/>
      <w:pPr>
        <w:ind w:left="835" w:hanging="259"/>
      </w:pPr>
    </w:lvl>
  </w:abstractNum>
  <w:abstractNum w:abstractNumId="3" w15:restartNumberingAfterBreak="0">
    <w:multiLevelType w:val="hybridMultilevel"/>
    <w:lvl w:ilvl="0" w15:tentative="1">
      <w:start w:val="1"/>
      <w:numFmt w:val="decimal"/>
      <w:lvlText w:val="%1."/>
      <w:lvlJc w:val="left"/>
      <w:pPr>
        <w:ind w:left="460" w:hanging="316"/>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222222"/>
        <w:sz w:val="21"/>
        <w:szCs w:val="21"/>
      </w:rPr>
    </w:rPrDefault>
    <w:pPrDefault>
      <w:pPr>
        <w:spacing w:after="130"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spacing w:after="150" w:before="380"/>
    </w:pPr>
    <w:rPr>
      <w:rFonts w:ascii="Calibri" w:cs="Calibri" w:eastAsia="Calibri" w:hAnsi="Calibri"/>
      <w:b/>
      <w:bCs/>
      <w:color w:val="1F3A5F"/>
      <w:sz w:val="30"/>
      <w:szCs w:val="30"/>
    </w:rPr>
  </w:style>
  <w:style w:type="paragraph" w:styleId="Heading2">
    <w:name w:val="Heading 2"/>
    <w:basedOn w:val="Normal"/>
    <w:next w:val="Normal"/>
    <w:qFormat/>
    <w:pPr>
      <w:spacing w:after="100" w:before="260"/>
    </w:pPr>
    <w:rPr>
      <w:rFonts w:ascii="Calibri" w:cs="Calibri" w:eastAsia="Calibri" w:hAnsi="Calibri"/>
      <w:b/>
      <w:bCs/>
      <w:color w:val="1F3A5F"/>
      <w:sz w:val="23"/>
      <w:szCs w:val="23"/>
    </w:rPr>
  </w:style>
  <w:style w:type="paragraph" w:styleId="Heading3">
    <w:name w:val="Heading 3"/>
    <w:basedOn w:val="Normal"/>
    <w:next w:val="Normal"/>
    <w:qFormat/>
    <w:pPr>
      <w:spacing w:after="70" w:before="200"/>
    </w:pPr>
    <w:rPr>
      <w:rFonts w:ascii="Calibri" w:cs="Calibri" w:eastAsia="Calibri" w:hAnsi="Calibri"/>
      <w:b/>
      <w:bCs/>
      <w:color w:val="4A5568"/>
      <w:sz w:val="21"/>
      <w:szCs w:val="21"/>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Meta">
    <w:name w:val="Meta"/>
    <w:basedOn w:val="Normal"/>
    <w:qFormat/>
    <w:pPr>
      <w:spacing w:after="60"/>
    </w:pPr>
    <w:rPr>
      <w:color w:val="4A5568"/>
      <w:sz w:val="18"/>
      <w:szCs w:val="18"/>
    </w:rPr>
  </w:style>
  <w:style w:type="paragraph" w:styleId="Lead">
    <w:name w:val="Lead"/>
    <w:basedOn w:val="Normal"/>
    <w:qFormat/>
    <w:pPr>
      <w:spacing w:after="200"/>
    </w:pPr>
    <w:rPr>
      <w:color w:val="1F3A5F"/>
      <w:sz w:val="23"/>
      <w:szCs w:val="23"/>
    </w:rPr>
  </w:style>
  <w:style w:type="paragraph" w:styleId="Note">
    <w:name w:val="Note"/>
    <w:basedOn w:val="Normal"/>
    <w:qFormat/>
    <w:pPr>
      <w:spacing w:after="200" w:before="60"/>
    </w:pPr>
    <w:rPr>
      <w:i/>
      <w:iCs/>
      <w:color w:val="4A5568"/>
      <w:sz w:val="19"/>
      <w:szCs w:val="19"/>
    </w:rPr>
  </w:style>
  <w:style w:type="paragraph" w:styleId="Formula">
    <w:name w:val="Formula"/>
    <w:basedOn w:val="Normal"/>
    <w:qFormat/>
    <w:pPr>
      <w:spacing w:after="140" w:before="120"/>
      <w:ind w:left="360"/>
    </w:pPr>
    <w:rPr>
      <w:rFonts w:ascii="Consolas" w:cs="Consolas" w:eastAsia="Consolas" w:hAnsi="Consolas"/>
      <w:color w:val="1F3A5F"/>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2026-09-07T08:28:34.860Z</dcterms:created>
  <dcterms:modified xsi:type="dcterms:W3CDTF">2026-09-07T08:28:34.860Z</dcterms:modified>
</cp:coreProperties>
</file>

<file path=docProps/custom.xml><?xml version="1.0" encoding="utf-8"?>
<Properties xmlns="http://schemas.openxmlformats.org/officeDocument/2006/custom-properties" xmlns:vt="http://schemas.openxmlformats.org/officeDocument/2006/docPropsVTypes"/>
</file>